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59" w:rsidRPr="009F5E0D" w:rsidRDefault="00D20C59" w:rsidP="00D20C59">
      <w:pPr>
        <w:pStyle w:val="NormalWeb"/>
        <w:jc w:val="both"/>
        <w:rPr>
          <w:rFonts w:ascii="Verdana" w:hAnsi="Verdana"/>
          <w:b/>
          <w:i/>
          <w:sz w:val="20"/>
          <w:szCs w:val="20"/>
          <w:u w:val="single"/>
        </w:rPr>
      </w:pPr>
      <w:r w:rsidRPr="009F5E0D">
        <w:rPr>
          <w:rFonts w:ascii="Verdana" w:hAnsi="Verdana"/>
          <w:b/>
          <w:i/>
          <w:sz w:val="20"/>
          <w:szCs w:val="20"/>
          <w:u w:val="single"/>
        </w:rPr>
        <w:t xml:space="preserve">ANALYSIS OF PROVISION OF DISALLOWANCE UNDER SECTION </w:t>
      </w:r>
      <w:proofErr w:type="gramStart"/>
      <w:r w:rsidRPr="009F5E0D">
        <w:rPr>
          <w:rFonts w:ascii="Verdana" w:hAnsi="Verdana"/>
          <w:b/>
          <w:i/>
          <w:sz w:val="20"/>
          <w:szCs w:val="20"/>
          <w:u w:val="single"/>
        </w:rPr>
        <w:t>40A(</w:t>
      </w:r>
      <w:proofErr w:type="gramEnd"/>
      <w:r w:rsidRPr="009F5E0D">
        <w:rPr>
          <w:rFonts w:ascii="Verdana" w:hAnsi="Verdana"/>
          <w:b/>
          <w:i/>
          <w:sz w:val="20"/>
          <w:szCs w:val="20"/>
          <w:u w:val="single"/>
        </w:rPr>
        <w:t>3) OF THE INCOME TAX ACT, 1961 ALONGWITH SOME LATEST JUDGEMENTS ON THIS ISSUE</w:t>
      </w:r>
    </w:p>
    <w:p w:rsidR="00D20C59" w:rsidRPr="009F5E0D" w:rsidRDefault="00D20C59" w:rsidP="00D20C59">
      <w:pPr>
        <w:pStyle w:val="NormalWeb"/>
        <w:jc w:val="both"/>
        <w:rPr>
          <w:rFonts w:ascii="Verdana" w:hAnsi="Verdana"/>
          <w:sz w:val="20"/>
          <w:szCs w:val="20"/>
        </w:rPr>
      </w:pPr>
      <w:r w:rsidRPr="009F5E0D">
        <w:rPr>
          <w:rFonts w:ascii="Verdana" w:hAnsi="Verdana"/>
          <w:sz w:val="20"/>
          <w:szCs w:val="20"/>
        </w:rPr>
        <w:t xml:space="preserve">The provision </w:t>
      </w:r>
      <w:r w:rsidR="003B2943" w:rsidRPr="009F5E0D">
        <w:rPr>
          <w:rFonts w:ascii="Verdana" w:hAnsi="Verdana"/>
          <w:sz w:val="20"/>
          <w:szCs w:val="20"/>
        </w:rPr>
        <w:t xml:space="preserve">of Sec 40A(3) was incorporated in the Income Tax Act to disallow claim of certain expenses if payment is made otherwise than prescribed mode in excess of limit laid down in the said section. The section was </w:t>
      </w:r>
      <w:r w:rsidRPr="009F5E0D">
        <w:rPr>
          <w:rFonts w:ascii="Verdana" w:hAnsi="Verdana"/>
          <w:sz w:val="20"/>
          <w:szCs w:val="20"/>
        </w:rPr>
        <w:t>enacted as one of the measures for countering evasion of tax. It was found from experience, that deductions were being claimed for payment made from unaccounted money in the computation of business or professional income. This provision was enacted to enable the assessing authority to ascertain whether the payment was genuine or whether it was out of the income from undisclosed sources. Genuine and bona fide transactions are taken out of the sweep of the sub- section. It is open to the assessee to furnish to the satisfaction of the Assessing Officer the circumstances under which the payment in the manner prescribed in sub-section (3) was not practicable or would have caused genuine difficulty to the payee.</w:t>
      </w:r>
    </w:p>
    <w:p w:rsidR="00D20C59" w:rsidRPr="009F5E0D" w:rsidRDefault="00D20C59" w:rsidP="00D20C59">
      <w:pPr>
        <w:pStyle w:val="NormalWeb"/>
        <w:jc w:val="both"/>
        <w:rPr>
          <w:rFonts w:ascii="Verdana" w:hAnsi="Verdana"/>
          <w:sz w:val="20"/>
          <w:szCs w:val="20"/>
        </w:rPr>
      </w:pPr>
      <w:r w:rsidRPr="009F5E0D">
        <w:rPr>
          <w:rFonts w:ascii="Verdana" w:hAnsi="Verdana"/>
          <w:sz w:val="20"/>
          <w:szCs w:val="20"/>
        </w:rPr>
        <w:t xml:space="preserve">It is also open to the assessee to identify the person who has received cash payment. The provisions of sub-section (3) and </w:t>
      </w:r>
      <w:hyperlink r:id="rId6" w:history="1">
        <w:r w:rsidRPr="009F5E0D">
          <w:rPr>
            <w:rStyle w:val="Hyperlink"/>
            <w:rFonts w:ascii="Verdana" w:hAnsi="Verdana"/>
            <w:sz w:val="20"/>
            <w:szCs w:val="20"/>
          </w:rPr>
          <w:t>rule 6DD</w:t>
        </w:r>
      </w:hyperlink>
      <w:r w:rsidRPr="009F5E0D">
        <w:rPr>
          <w:rFonts w:ascii="Verdana" w:hAnsi="Verdana"/>
          <w:sz w:val="20"/>
          <w:szCs w:val="20"/>
        </w:rPr>
        <w:t xml:space="preserve"> are intended to regulate business transactions and to prevent the use of unaccounted money or to reduce the chances to use black money for business transactions. The restraint that has been imposed is to curb the chances and opportunities to use or create black money and the same should not be regarded as curtailing the freedom of trade or business [see </w:t>
      </w:r>
      <w:hyperlink r:id="rId7" w:history="1">
        <w:r w:rsidRPr="009F5E0D">
          <w:rPr>
            <w:rStyle w:val="Hyperlink"/>
            <w:rFonts w:ascii="Verdana" w:hAnsi="Verdana"/>
            <w:sz w:val="20"/>
            <w:szCs w:val="20"/>
          </w:rPr>
          <w:t>Attar Singh Gurmukh Singh vs. ITO</w:t>
        </w:r>
      </w:hyperlink>
      <w:r w:rsidRPr="009F5E0D">
        <w:rPr>
          <w:rFonts w:ascii="Verdana" w:hAnsi="Verdana"/>
          <w:i/>
          <w:iCs/>
          <w:sz w:val="20"/>
          <w:szCs w:val="20"/>
        </w:rPr>
        <w:t xml:space="preserve"> (1991) 191 ITR 667 (SC)</w:t>
      </w:r>
      <w:r w:rsidRPr="009F5E0D">
        <w:rPr>
          <w:rFonts w:ascii="Verdana" w:hAnsi="Verdana"/>
          <w:sz w:val="20"/>
          <w:szCs w:val="20"/>
        </w:rPr>
        <w:t>.</w:t>
      </w:r>
    </w:p>
    <w:p w:rsidR="00DB13E6" w:rsidRPr="009F5E0D" w:rsidRDefault="00BC38D0" w:rsidP="00A01438">
      <w:pPr>
        <w:pStyle w:val="NormalWeb"/>
        <w:jc w:val="both"/>
        <w:rPr>
          <w:rFonts w:ascii="Verdana" w:hAnsi="Verdana"/>
          <w:b/>
          <w:i/>
          <w:sz w:val="20"/>
          <w:szCs w:val="20"/>
        </w:rPr>
      </w:pPr>
      <w:r w:rsidRPr="009F5E0D">
        <w:rPr>
          <w:rFonts w:ascii="Verdana" w:hAnsi="Verdana"/>
          <w:sz w:val="20"/>
          <w:szCs w:val="20"/>
        </w:rPr>
        <w:t xml:space="preserve">The provision of S. </w:t>
      </w:r>
      <w:proofErr w:type="gramStart"/>
      <w:r w:rsidRPr="009F5E0D">
        <w:rPr>
          <w:rFonts w:ascii="Verdana" w:hAnsi="Verdana"/>
          <w:sz w:val="20"/>
          <w:szCs w:val="20"/>
        </w:rPr>
        <w:t>40A(</w:t>
      </w:r>
      <w:proofErr w:type="gramEnd"/>
      <w:r w:rsidRPr="009F5E0D">
        <w:rPr>
          <w:rFonts w:ascii="Verdana" w:hAnsi="Verdana"/>
          <w:sz w:val="20"/>
          <w:szCs w:val="20"/>
        </w:rPr>
        <w:t xml:space="preserve">3) as well as r. 6DD has been amended many times. </w:t>
      </w:r>
      <w:r w:rsidR="00DB13E6" w:rsidRPr="009F5E0D">
        <w:rPr>
          <w:rFonts w:ascii="Verdana" w:hAnsi="Verdana"/>
          <w:b/>
          <w:i/>
          <w:sz w:val="20"/>
          <w:szCs w:val="20"/>
        </w:rPr>
        <w:t xml:space="preserve">There has been a lot of litigation on the interpretation of this subject. Some of the interesting and land mark judgements interpreting the provision of Sec. </w:t>
      </w:r>
      <w:proofErr w:type="gramStart"/>
      <w:r w:rsidR="00DB13E6" w:rsidRPr="009F5E0D">
        <w:rPr>
          <w:rFonts w:ascii="Verdana" w:hAnsi="Verdana"/>
          <w:b/>
          <w:i/>
          <w:sz w:val="20"/>
          <w:szCs w:val="20"/>
        </w:rPr>
        <w:t>40A(</w:t>
      </w:r>
      <w:proofErr w:type="gramEnd"/>
      <w:r w:rsidR="00DB13E6" w:rsidRPr="009F5E0D">
        <w:rPr>
          <w:rFonts w:ascii="Verdana" w:hAnsi="Verdana"/>
          <w:b/>
          <w:i/>
          <w:sz w:val="20"/>
          <w:szCs w:val="20"/>
        </w:rPr>
        <w:t>3) r.w.r. 6DD are discussed hereunder.</w:t>
      </w:r>
    </w:p>
    <w:p w:rsidR="00D649F5" w:rsidRPr="009F5E0D" w:rsidRDefault="00D649F5" w:rsidP="002F4F8E">
      <w:pPr>
        <w:pStyle w:val="NormalWeb"/>
        <w:numPr>
          <w:ilvl w:val="0"/>
          <w:numId w:val="1"/>
        </w:numPr>
        <w:jc w:val="both"/>
        <w:rPr>
          <w:rStyle w:val="Strong"/>
          <w:rFonts w:ascii="Verdana" w:hAnsi="Verdana"/>
          <w:bCs w:val="0"/>
          <w:i/>
          <w:sz w:val="20"/>
          <w:szCs w:val="20"/>
          <w:u w:val="single"/>
        </w:rPr>
      </w:pPr>
      <w:r w:rsidRPr="009F5E0D">
        <w:rPr>
          <w:rStyle w:val="Strong"/>
          <w:rFonts w:ascii="Verdana" w:hAnsi="Verdana"/>
          <w:bCs w:val="0"/>
          <w:i/>
          <w:sz w:val="20"/>
          <w:szCs w:val="20"/>
          <w:u w:val="single"/>
        </w:rPr>
        <w:t>The instances provided under Rule 6DD are only illustrative and not exhaustive :</w:t>
      </w:r>
    </w:p>
    <w:p w:rsidR="002F4F8E" w:rsidRPr="009F5E0D" w:rsidRDefault="00CC7014" w:rsidP="00D649F5">
      <w:pPr>
        <w:pStyle w:val="NormalWeb"/>
        <w:numPr>
          <w:ilvl w:val="0"/>
          <w:numId w:val="6"/>
        </w:numPr>
        <w:jc w:val="both"/>
        <w:rPr>
          <w:rStyle w:val="Strong"/>
          <w:rFonts w:ascii="Verdana" w:hAnsi="Verdana"/>
          <w:b w:val="0"/>
          <w:bCs w:val="0"/>
          <w:sz w:val="20"/>
          <w:szCs w:val="20"/>
        </w:rPr>
      </w:pPr>
      <w:r w:rsidRPr="009F5E0D">
        <w:rPr>
          <w:rStyle w:val="Strong"/>
          <w:rFonts w:ascii="Verdana" w:hAnsi="Verdana" w:cs="Helvetica"/>
          <w:i/>
          <w:color w:val="373737"/>
          <w:sz w:val="20"/>
          <w:szCs w:val="20"/>
        </w:rPr>
        <w:t>The Gujarat High Court in Anupam Tele Services TA No.</w:t>
      </w:r>
      <w:r w:rsidR="00A860C4" w:rsidRPr="009F5E0D">
        <w:rPr>
          <w:rStyle w:val="Strong"/>
          <w:rFonts w:ascii="Verdana" w:hAnsi="Verdana" w:cs="Helvetica"/>
          <w:i/>
          <w:color w:val="373737"/>
          <w:sz w:val="20"/>
          <w:szCs w:val="20"/>
        </w:rPr>
        <w:t xml:space="preserve"> 556/2013 </w:t>
      </w:r>
      <w:r w:rsidRPr="009F5E0D">
        <w:rPr>
          <w:rStyle w:val="Strong"/>
          <w:rFonts w:ascii="Verdana" w:hAnsi="Verdana" w:cs="Helvetica"/>
          <w:i/>
          <w:color w:val="373737"/>
          <w:sz w:val="20"/>
          <w:szCs w:val="20"/>
        </w:rPr>
        <w:t xml:space="preserve">dated </w:t>
      </w:r>
      <w:r w:rsidR="00A860C4" w:rsidRPr="009F5E0D">
        <w:rPr>
          <w:rStyle w:val="Strong"/>
          <w:rFonts w:ascii="Verdana" w:hAnsi="Verdana" w:cs="Helvetica"/>
          <w:i/>
          <w:color w:val="373737"/>
          <w:sz w:val="20"/>
          <w:szCs w:val="20"/>
        </w:rPr>
        <w:t>22.01.2014</w:t>
      </w:r>
      <w:r w:rsidR="00A860C4" w:rsidRPr="009F5E0D">
        <w:rPr>
          <w:rStyle w:val="Strong"/>
          <w:rFonts w:ascii="Verdana" w:hAnsi="Verdana" w:cs="Helvetica"/>
          <w:b w:val="0"/>
          <w:color w:val="373737"/>
          <w:sz w:val="20"/>
          <w:szCs w:val="20"/>
        </w:rPr>
        <w:t xml:space="preserve"> </w:t>
      </w:r>
      <w:r w:rsidRPr="009F5E0D">
        <w:rPr>
          <w:rStyle w:val="Strong"/>
          <w:rFonts w:ascii="Verdana" w:hAnsi="Verdana" w:cs="Helvetica"/>
          <w:b w:val="0"/>
          <w:color w:val="373737"/>
          <w:sz w:val="20"/>
          <w:szCs w:val="20"/>
        </w:rPr>
        <w:t xml:space="preserve">has held that </w:t>
      </w:r>
      <w:r w:rsidRPr="009F5E0D">
        <w:rPr>
          <w:rStyle w:val="Strong"/>
          <w:rFonts w:ascii="Verdana" w:hAnsi="Verdana" w:cs="Helvetica"/>
          <w:b w:val="0"/>
          <w:color w:val="373737"/>
          <w:sz w:val="20"/>
          <w:szCs w:val="20"/>
        </w:rPr>
        <w:t xml:space="preserve">No s. 40A(3) disallowance </w:t>
      </w:r>
      <w:r w:rsidRPr="009F5E0D">
        <w:rPr>
          <w:rStyle w:val="Strong"/>
          <w:rFonts w:ascii="Verdana" w:hAnsi="Verdana" w:cs="Helvetica"/>
          <w:b w:val="0"/>
          <w:color w:val="373737"/>
          <w:sz w:val="20"/>
          <w:szCs w:val="20"/>
        </w:rPr>
        <w:t xml:space="preserve">can be made </w:t>
      </w:r>
      <w:r w:rsidRPr="009F5E0D">
        <w:rPr>
          <w:rStyle w:val="Strong"/>
          <w:rFonts w:ascii="Verdana" w:hAnsi="Verdana" w:cs="Helvetica"/>
          <w:b w:val="0"/>
          <w:color w:val="373737"/>
          <w:sz w:val="20"/>
          <w:szCs w:val="20"/>
        </w:rPr>
        <w:t>for cash payments even if Rule 6DD(j) exception does not apply if there is no dispute as to genuineness of payment and business compulsion</w:t>
      </w:r>
      <w:r w:rsidR="00E82A78" w:rsidRPr="009F5E0D">
        <w:rPr>
          <w:rStyle w:val="Strong"/>
          <w:rFonts w:ascii="Verdana" w:hAnsi="Verdana" w:cs="Helvetica"/>
          <w:b w:val="0"/>
          <w:color w:val="373737"/>
          <w:sz w:val="20"/>
          <w:szCs w:val="20"/>
        </w:rPr>
        <w:t>.</w:t>
      </w:r>
      <w:r w:rsidR="00B64CC3" w:rsidRPr="009F5E0D">
        <w:rPr>
          <w:rStyle w:val="Strong"/>
          <w:rFonts w:ascii="Verdana" w:hAnsi="Verdana" w:cs="Helvetica"/>
          <w:b w:val="0"/>
          <w:color w:val="373737"/>
          <w:sz w:val="20"/>
          <w:szCs w:val="20"/>
        </w:rPr>
        <w:t xml:space="preserve"> The High Court reversed the order of ITAT and held in favour of the assessee</w:t>
      </w:r>
      <w:r w:rsidR="006F56EA" w:rsidRPr="009F5E0D">
        <w:rPr>
          <w:rStyle w:val="Strong"/>
          <w:rFonts w:ascii="Verdana" w:hAnsi="Verdana" w:cs="Helvetica"/>
          <w:b w:val="0"/>
          <w:color w:val="373737"/>
          <w:sz w:val="20"/>
          <w:szCs w:val="20"/>
        </w:rPr>
        <w:t xml:space="preserve"> as under :</w:t>
      </w:r>
      <w:r w:rsidR="00B64CC3" w:rsidRPr="009F5E0D">
        <w:rPr>
          <w:rStyle w:val="Strong"/>
          <w:rFonts w:ascii="Verdana" w:hAnsi="Verdana" w:cs="Helvetica"/>
          <w:b w:val="0"/>
          <w:color w:val="373737"/>
          <w:sz w:val="20"/>
          <w:szCs w:val="20"/>
        </w:rPr>
        <w:t xml:space="preserve"> </w:t>
      </w:r>
    </w:p>
    <w:p w:rsidR="00B64CC3" w:rsidRPr="009F5E0D" w:rsidRDefault="00B64CC3" w:rsidP="009B3091">
      <w:pPr>
        <w:pStyle w:val="NormalWeb"/>
        <w:ind w:left="1080"/>
        <w:jc w:val="both"/>
        <w:rPr>
          <w:rStyle w:val="Strong"/>
          <w:rFonts w:ascii="Verdana" w:hAnsi="Verdana"/>
          <w:b w:val="0"/>
          <w:bCs w:val="0"/>
          <w:sz w:val="20"/>
          <w:szCs w:val="20"/>
        </w:rPr>
      </w:pPr>
      <w:r w:rsidRPr="009F5E0D">
        <w:rPr>
          <w:rFonts w:ascii="Verdana" w:hAnsi="Verdana" w:cs="Helvetica"/>
          <w:color w:val="373737"/>
          <w:sz w:val="20"/>
          <w:szCs w:val="20"/>
        </w:rPr>
        <w:t xml:space="preserve">S. </w:t>
      </w:r>
      <w:proofErr w:type="gramStart"/>
      <w:r w:rsidRPr="009F5E0D">
        <w:rPr>
          <w:rFonts w:ascii="Verdana" w:hAnsi="Verdana" w:cs="Helvetica"/>
          <w:color w:val="373737"/>
          <w:sz w:val="20"/>
          <w:szCs w:val="20"/>
        </w:rPr>
        <w:t>40A(</w:t>
      </w:r>
      <w:proofErr w:type="gramEnd"/>
      <w:r w:rsidRPr="009F5E0D">
        <w:rPr>
          <w:rFonts w:ascii="Verdana" w:hAnsi="Verdana" w:cs="Helvetica"/>
          <w:color w:val="373737"/>
          <w:sz w:val="20"/>
          <w:szCs w:val="20"/>
        </w:rPr>
        <w:t xml:space="preserve">3) and Rule 6DD are not intended to restrict business activities. The terms of s. </w:t>
      </w:r>
      <w:proofErr w:type="gramStart"/>
      <w:r w:rsidRPr="009F5E0D">
        <w:rPr>
          <w:rFonts w:ascii="Verdana" w:hAnsi="Verdana" w:cs="Helvetica"/>
          <w:color w:val="373737"/>
          <w:sz w:val="20"/>
          <w:szCs w:val="20"/>
        </w:rPr>
        <w:t>40A(</w:t>
      </w:r>
      <w:proofErr w:type="gramEnd"/>
      <w:r w:rsidRPr="009F5E0D">
        <w:rPr>
          <w:rFonts w:ascii="Verdana" w:hAnsi="Verdana" w:cs="Helvetica"/>
          <w:color w:val="373737"/>
          <w:sz w:val="20"/>
          <w:szCs w:val="20"/>
        </w:rPr>
        <w:t xml:space="preserve">3) are not absolute. Considerations of business expediency and other relevant factors are not excluded. Genuine and bona fide transactions are not taken out of the sweep of the section. It is open to the assessee to furnish to the satisfaction of the AO the circumstances under which the payment in the manner prescribed in s. 40A (3) was not practicable or would have caused genuine difficulty to the payee. It is also open to the assessee to identify the person who has received the cash payment. On facts, though the case of the assessee did not fall within the exclusion clause in Rule 6DD (j), s. 40A(3) will not apply because (a) there is no doubt as to the genuineness of the payment nor the identity of the payee, (b) the assessee was compelled to pay cash owing to the </w:t>
      </w:r>
      <w:r w:rsidRPr="009F5E0D">
        <w:rPr>
          <w:rFonts w:ascii="Verdana" w:hAnsi="Verdana" w:cs="Helvetica"/>
          <w:color w:val="373737"/>
          <w:sz w:val="20"/>
          <w:szCs w:val="20"/>
        </w:rPr>
        <w:lastRenderedPageBreak/>
        <w:t>insistence of its principal and if it had not abided by the direction, the business would have suffered &amp; (c) the exceptions in Rule 6DD are not exhaustive and the rule must be interpreted liberally (</w:t>
      </w:r>
      <w:r w:rsidRPr="009F5E0D">
        <w:rPr>
          <w:rStyle w:val="Strong"/>
          <w:rFonts w:ascii="Verdana" w:hAnsi="Verdana" w:cs="Helvetica"/>
          <w:color w:val="373737"/>
          <w:sz w:val="20"/>
          <w:szCs w:val="20"/>
        </w:rPr>
        <w:t>Attar Singh Gurmukh Singh</w:t>
      </w:r>
      <w:r w:rsidRPr="009F5E0D">
        <w:rPr>
          <w:rStyle w:val="apple-converted-space"/>
          <w:rFonts w:ascii="Verdana" w:hAnsi="Verdana" w:cs="Helvetica"/>
          <w:color w:val="373737"/>
          <w:sz w:val="20"/>
          <w:szCs w:val="20"/>
        </w:rPr>
        <w:t> </w:t>
      </w:r>
      <w:r w:rsidRPr="009F5E0D">
        <w:rPr>
          <w:rFonts w:ascii="Verdana" w:hAnsi="Verdana" w:cs="Helvetica"/>
          <w:color w:val="373737"/>
          <w:sz w:val="20"/>
          <w:szCs w:val="20"/>
        </w:rPr>
        <w:t>191 ITR 667 (SC),</w:t>
      </w:r>
      <w:r w:rsidRPr="009F5E0D">
        <w:rPr>
          <w:rStyle w:val="apple-converted-space"/>
          <w:rFonts w:ascii="Verdana" w:hAnsi="Verdana" w:cs="Helvetica"/>
          <w:color w:val="373737"/>
          <w:sz w:val="20"/>
          <w:szCs w:val="20"/>
        </w:rPr>
        <w:t> </w:t>
      </w:r>
      <w:r w:rsidRPr="009F5E0D">
        <w:rPr>
          <w:rStyle w:val="Strong"/>
          <w:rFonts w:ascii="Verdana" w:hAnsi="Verdana" w:cs="Helvetica"/>
          <w:color w:val="373737"/>
          <w:sz w:val="20"/>
          <w:szCs w:val="20"/>
        </w:rPr>
        <w:t>Hynoup Food &amp; Oil Industries</w:t>
      </w:r>
      <w:r w:rsidRPr="009F5E0D">
        <w:rPr>
          <w:rStyle w:val="apple-converted-space"/>
          <w:rFonts w:ascii="Verdana" w:hAnsi="Verdana" w:cs="Helvetica"/>
          <w:color w:val="373737"/>
          <w:sz w:val="20"/>
          <w:szCs w:val="20"/>
        </w:rPr>
        <w:t> </w:t>
      </w:r>
      <w:r w:rsidR="00F5413C" w:rsidRPr="009F5E0D">
        <w:rPr>
          <w:rStyle w:val="apple-converted-space"/>
          <w:rFonts w:ascii="Verdana" w:hAnsi="Verdana" w:cs="Helvetica"/>
          <w:color w:val="373737"/>
          <w:sz w:val="20"/>
          <w:szCs w:val="20"/>
        </w:rPr>
        <w:t xml:space="preserve"> </w:t>
      </w:r>
      <w:r w:rsidRPr="009F5E0D">
        <w:rPr>
          <w:rFonts w:ascii="Verdana" w:hAnsi="Verdana" w:cs="Helvetica"/>
          <w:color w:val="373737"/>
          <w:sz w:val="20"/>
          <w:szCs w:val="20"/>
        </w:rPr>
        <w:t>290 ITR 702 (Guj) &amp;</w:t>
      </w:r>
      <w:r w:rsidRPr="009F5E0D">
        <w:rPr>
          <w:rFonts w:ascii="Verdana" w:hAnsi="Verdana" w:cs="Helvetica"/>
          <w:color w:val="373737"/>
          <w:sz w:val="20"/>
          <w:szCs w:val="20"/>
        </w:rPr>
        <w:t xml:space="preserve"> </w:t>
      </w:r>
      <w:r w:rsidRPr="009F5E0D">
        <w:rPr>
          <w:rStyle w:val="Strong"/>
          <w:rFonts w:ascii="Verdana" w:hAnsi="Verdana" w:cs="Helvetica"/>
          <w:color w:val="373737"/>
          <w:sz w:val="20"/>
          <w:szCs w:val="20"/>
        </w:rPr>
        <w:t>Harshila Chordia</w:t>
      </w:r>
      <w:r w:rsidRPr="009F5E0D">
        <w:rPr>
          <w:rStyle w:val="apple-converted-space"/>
          <w:rFonts w:ascii="Verdana" w:hAnsi="Verdana" w:cs="Helvetica"/>
          <w:color w:val="373737"/>
          <w:sz w:val="20"/>
          <w:szCs w:val="20"/>
        </w:rPr>
        <w:t> </w:t>
      </w:r>
      <w:r w:rsidRPr="009F5E0D">
        <w:rPr>
          <w:rFonts w:ascii="Verdana" w:hAnsi="Verdana" w:cs="Helvetica"/>
          <w:color w:val="373737"/>
          <w:sz w:val="20"/>
          <w:szCs w:val="20"/>
        </w:rPr>
        <w:t>298 ITR 349 (Raj) referred)</w:t>
      </w:r>
      <w:r w:rsidRPr="009F5E0D">
        <w:rPr>
          <w:rFonts w:ascii="Verdana" w:hAnsi="Verdana" w:cs="Helvetica"/>
          <w:color w:val="373737"/>
          <w:sz w:val="20"/>
          <w:szCs w:val="20"/>
        </w:rPr>
        <w:t>”</w:t>
      </w:r>
    </w:p>
    <w:p w:rsidR="002F4F8E" w:rsidRPr="009F5E0D" w:rsidRDefault="002F4F8E" w:rsidP="00683AE4">
      <w:pPr>
        <w:pStyle w:val="NormalWeb"/>
        <w:numPr>
          <w:ilvl w:val="0"/>
          <w:numId w:val="6"/>
        </w:numPr>
        <w:jc w:val="both"/>
        <w:rPr>
          <w:rFonts w:ascii="Verdana" w:hAnsi="Verdana"/>
          <w:sz w:val="20"/>
          <w:szCs w:val="20"/>
        </w:rPr>
      </w:pPr>
      <w:r w:rsidRPr="009F5E0D">
        <w:rPr>
          <w:rFonts w:ascii="Verdana" w:hAnsi="Verdana"/>
          <w:sz w:val="20"/>
          <w:szCs w:val="20"/>
        </w:rPr>
        <w:t xml:space="preserve">The above view was also taken by Delhi HC in the case </w:t>
      </w:r>
      <w:r w:rsidR="00F5413C" w:rsidRPr="009F5E0D">
        <w:rPr>
          <w:rFonts w:ascii="Verdana" w:hAnsi="Verdana"/>
          <w:b/>
          <w:i/>
          <w:sz w:val="20"/>
          <w:szCs w:val="20"/>
        </w:rPr>
        <w:t>Basu Distributor 206 TM 45.</w:t>
      </w:r>
    </w:p>
    <w:p w:rsidR="007C3B07" w:rsidRPr="009F5E0D" w:rsidRDefault="007C3B07" w:rsidP="00683AE4">
      <w:pPr>
        <w:pStyle w:val="NormalWeb"/>
        <w:numPr>
          <w:ilvl w:val="0"/>
          <w:numId w:val="6"/>
        </w:numPr>
        <w:jc w:val="both"/>
        <w:rPr>
          <w:rFonts w:ascii="Verdana" w:hAnsi="Verdana"/>
          <w:sz w:val="20"/>
          <w:szCs w:val="20"/>
        </w:rPr>
      </w:pPr>
      <w:r w:rsidRPr="009F5E0D">
        <w:rPr>
          <w:rFonts w:ascii="Verdana" w:hAnsi="Verdana"/>
          <w:sz w:val="20"/>
          <w:szCs w:val="20"/>
        </w:rPr>
        <w:t xml:space="preserve">The interpretation of above latest judgements is that the list provided under r. 6DD is only illustrative and not exhaustive. If the assessee can demonstrate other genuine causes for making payment in cash, disallowance u/s </w:t>
      </w:r>
      <w:proofErr w:type="gramStart"/>
      <w:r w:rsidRPr="009F5E0D">
        <w:rPr>
          <w:rFonts w:ascii="Verdana" w:hAnsi="Verdana"/>
          <w:sz w:val="20"/>
          <w:szCs w:val="20"/>
        </w:rPr>
        <w:t>40A(</w:t>
      </w:r>
      <w:proofErr w:type="gramEnd"/>
      <w:r w:rsidRPr="009F5E0D">
        <w:rPr>
          <w:rFonts w:ascii="Verdana" w:hAnsi="Verdana"/>
          <w:sz w:val="20"/>
          <w:szCs w:val="20"/>
        </w:rPr>
        <w:t>3) can be avoided.</w:t>
      </w:r>
      <w:r w:rsidR="00DC1A97" w:rsidRPr="009F5E0D">
        <w:rPr>
          <w:rFonts w:ascii="Verdana" w:hAnsi="Verdana"/>
          <w:sz w:val="20"/>
          <w:szCs w:val="20"/>
        </w:rPr>
        <w:t xml:space="preserve"> The provision and judgements thereon in respect of older provision of R. </w:t>
      </w:r>
      <w:proofErr w:type="gramStart"/>
      <w:r w:rsidR="00DC1A97" w:rsidRPr="009F5E0D">
        <w:rPr>
          <w:rFonts w:ascii="Verdana" w:hAnsi="Verdana"/>
          <w:sz w:val="20"/>
          <w:szCs w:val="20"/>
        </w:rPr>
        <w:t>6DD(</w:t>
      </w:r>
      <w:proofErr w:type="gramEnd"/>
      <w:r w:rsidR="00DC1A97" w:rsidRPr="009F5E0D">
        <w:rPr>
          <w:rFonts w:ascii="Verdana" w:hAnsi="Verdana"/>
          <w:sz w:val="20"/>
          <w:szCs w:val="20"/>
        </w:rPr>
        <w:t>j)(1)/(2) can be safely applied here too.</w:t>
      </w:r>
    </w:p>
    <w:p w:rsidR="002E28F1" w:rsidRPr="009F5E0D" w:rsidRDefault="002E28F1" w:rsidP="002E28F1">
      <w:pPr>
        <w:pStyle w:val="NormalWeb"/>
        <w:numPr>
          <w:ilvl w:val="0"/>
          <w:numId w:val="1"/>
        </w:numPr>
        <w:jc w:val="both"/>
        <w:rPr>
          <w:rFonts w:ascii="Verdana" w:hAnsi="Verdana"/>
          <w:b/>
          <w:i/>
          <w:sz w:val="20"/>
          <w:szCs w:val="20"/>
          <w:u w:val="single"/>
        </w:rPr>
      </w:pPr>
      <w:r w:rsidRPr="009F5E0D">
        <w:rPr>
          <w:rFonts w:ascii="Verdana" w:hAnsi="Verdana"/>
          <w:b/>
          <w:i/>
          <w:sz w:val="20"/>
          <w:szCs w:val="20"/>
          <w:u w:val="single"/>
        </w:rPr>
        <w:t>Provision u/s 40A(1) starts with a non-obstante clause :</w:t>
      </w:r>
    </w:p>
    <w:p w:rsidR="00F270A9" w:rsidRPr="009F5E0D" w:rsidRDefault="00473790" w:rsidP="0055191F">
      <w:pPr>
        <w:pStyle w:val="NormalWeb"/>
        <w:numPr>
          <w:ilvl w:val="0"/>
          <w:numId w:val="7"/>
        </w:numPr>
        <w:jc w:val="both"/>
        <w:rPr>
          <w:rFonts w:ascii="Verdana" w:hAnsi="Verdana"/>
          <w:sz w:val="20"/>
          <w:szCs w:val="20"/>
        </w:rPr>
      </w:pPr>
      <w:r w:rsidRPr="009F5E0D">
        <w:rPr>
          <w:rFonts w:ascii="Verdana" w:hAnsi="Verdana"/>
          <w:sz w:val="20"/>
          <w:szCs w:val="20"/>
        </w:rPr>
        <w:t>Section 40A</w:t>
      </w:r>
      <w:r w:rsidR="00F270A9" w:rsidRPr="009F5E0D">
        <w:rPr>
          <w:rFonts w:ascii="Verdana" w:hAnsi="Verdana"/>
          <w:sz w:val="20"/>
          <w:szCs w:val="20"/>
        </w:rPr>
        <w:t>(1)</w:t>
      </w:r>
      <w:r w:rsidRPr="009F5E0D">
        <w:rPr>
          <w:rFonts w:ascii="Verdana" w:hAnsi="Verdana"/>
          <w:sz w:val="20"/>
          <w:szCs w:val="20"/>
        </w:rPr>
        <w:t xml:space="preserve"> contains a non-obstante clause and hence it is an overriding provision which operates irrespective of anything contrary contained in any other provision of the Act. In </w:t>
      </w:r>
      <w:hyperlink r:id="rId8" w:history="1">
        <w:r w:rsidRPr="009F5E0D">
          <w:rPr>
            <w:rStyle w:val="Hyperlink"/>
            <w:rFonts w:ascii="Verdana" w:hAnsi="Verdana"/>
            <w:sz w:val="20"/>
            <w:szCs w:val="20"/>
          </w:rPr>
          <w:t>Shree Sajjan Mills Ltd. vs. CIT</w:t>
        </w:r>
      </w:hyperlink>
      <w:r w:rsidRPr="009F5E0D">
        <w:rPr>
          <w:rFonts w:ascii="Verdana" w:hAnsi="Verdana"/>
          <w:i/>
          <w:iCs/>
          <w:sz w:val="20"/>
          <w:szCs w:val="20"/>
        </w:rPr>
        <w:t xml:space="preserve"> (1985) 156 ITR 585 (SC),</w:t>
      </w:r>
      <w:r w:rsidRPr="009F5E0D">
        <w:rPr>
          <w:rFonts w:ascii="Verdana" w:hAnsi="Verdana"/>
          <w:sz w:val="20"/>
          <w:szCs w:val="20"/>
        </w:rPr>
        <w:t xml:space="preserve"> the Supreme Court while dealing with restriction contained in sub-section (7) of section 40A referred to the marginal note and heading of section 40A, which according to the Supreme Court, were relevant factors to be taken into consideration in construing the ambit of the section and observed that actual payments or provisions for payment which could have been eligible for deduction under </w:t>
      </w:r>
      <w:hyperlink r:id="rId9" w:history="1">
        <w:r w:rsidRPr="009F5E0D">
          <w:rPr>
            <w:rStyle w:val="Hyperlink"/>
            <w:rFonts w:ascii="Verdana" w:hAnsi="Verdana"/>
            <w:sz w:val="20"/>
            <w:szCs w:val="20"/>
          </w:rPr>
          <w:t>section 28</w:t>
        </w:r>
      </w:hyperlink>
      <w:r w:rsidRPr="009F5E0D">
        <w:rPr>
          <w:rFonts w:ascii="Verdana" w:hAnsi="Verdana"/>
          <w:sz w:val="20"/>
          <w:szCs w:val="20"/>
        </w:rPr>
        <w:t xml:space="preserve"> and </w:t>
      </w:r>
      <w:hyperlink r:id="rId10" w:history="1">
        <w:r w:rsidRPr="009F5E0D">
          <w:rPr>
            <w:rStyle w:val="Hyperlink"/>
            <w:rFonts w:ascii="Verdana" w:hAnsi="Verdana"/>
            <w:sz w:val="20"/>
            <w:szCs w:val="20"/>
          </w:rPr>
          <w:t>section 37</w:t>
        </w:r>
      </w:hyperlink>
      <w:r w:rsidRPr="009F5E0D">
        <w:rPr>
          <w:rFonts w:ascii="Verdana" w:hAnsi="Verdana"/>
          <w:sz w:val="20"/>
          <w:szCs w:val="20"/>
        </w:rPr>
        <w:t xml:space="preserve"> of the Act would be subject to the provisions of section 40A which had an overriding effect and that expenditure or allowances which are deductible under any other provision relating to the head "Business or profession" would be disallowed in cases to which the </w:t>
      </w:r>
      <w:r w:rsidR="00F270A9" w:rsidRPr="009F5E0D">
        <w:rPr>
          <w:rFonts w:ascii="Verdana" w:hAnsi="Verdana"/>
          <w:sz w:val="20"/>
          <w:szCs w:val="20"/>
        </w:rPr>
        <w:t>provisions of section 40A apply.</w:t>
      </w:r>
    </w:p>
    <w:p w:rsidR="008F259E" w:rsidRPr="009F5E0D" w:rsidRDefault="008F259E" w:rsidP="008F259E">
      <w:pPr>
        <w:pStyle w:val="NormalWeb"/>
        <w:numPr>
          <w:ilvl w:val="0"/>
          <w:numId w:val="1"/>
        </w:numPr>
        <w:jc w:val="both"/>
        <w:rPr>
          <w:rFonts w:ascii="Verdana" w:hAnsi="Verdana"/>
          <w:b/>
          <w:i/>
          <w:sz w:val="20"/>
          <w:szCs w:val="20"/>
          <w:u w:val="single"/>
        </w:rPr>
      </w:pPr>
      <w:r w:rsidRPr="009F5E0D">
        <w:rPr>
          <w:rFonts w:ascii="Verdana" w:hAnsi="Verdana"/>
          <w:b/>
          <w:i/>
          <w:sz w:val="20"/>
          <w:szCs w:val="20"/>
          <w:u w:val="single"/>
        </w:rPr>
        <w:t>Restrictions contained in section 40A</w:t>
      </w:r>
      <w:r w:rsidRPr="009F5E0D">
        <w:rPr>
          <w:rFonts w:ascii="Verdana" w:hAnsi="Verdana"/>
          <w:b/>
          <w:i/>
          <w:sz w:val="20"/>
          <w:szCs w:val="20"/>
          <w:u w:val="single"/>
        </w:rPr>
        <w:t>(3)</w:t>
      </w:r>
      <w:r w:rsidRPr="009F5E0D">
        <w:rPr>
          <w:rFonts w:ascii="Verdana" w:hAnsi="Verdana"/>
          <w:b/>
          <w:i/>
          <w:sz w:val="20"/>
          <w:szCs w:val="20"/>
          <w:u w:val="single"/>
        </w:rPr>
        <w:t xml:space="preserve"> would apply to those expenses which are otherwise allowable</w:t>
      </w:r>
      <w:r w:rsidRPr="009F5E0D">
        <w:rPr>
          <w:rFonts w:ascii="Verdana" w:hAnsi="Verdana"/>
          <w:b/>
          <w:i/>
          <w:sz w:val="20"/>
          <w:szCs w:val="20"/>
          <w:u w:val="single"/>
        </w:rPr>
        <w:t xml:space="preserve"> :</w:t>
      </w:r>
    </w:p>
    <w:p w:rsidR="004E029C" w:rsidRPr="009F5E0D" w:rsidRDefault="00F24069" w:rsidP="008F259E">
      <w:pPr>
        <w:pStyle w:val="NormalWeb"/>
        <w:numPr>
          <w:ilvl w:val="0"/>
          <w:numId w:val="8"/>
        </w:numPr>
        <w:jc w:val="both"/>
        <w:rPr>
          <w:rFonts w:ascii="Verdana" w:hAnsi="Verdana"/>
          <w:sz w:val="20"/>
          <w:szCs w:val="20"/>
        </w:rPr>
      </w:pPr>
      <w:r w:rsidRPr="009F5E0D">
        <w:rPr>
          <w:rFonts w:ascii="Verdana" w:hAnsi="Verdana"/>
          <w:sz w:val="20"/>
          <w:szCs w:val="20"/>
        </w:rPr>
        <w:t>R</w:t>
      </w:r>
      <w:r w:rsidR="00473790" w:rsidRPr="009F5E0D">
        <w:rPr>
          <w:rFonts w:ascii="Verdana" w:hAnsi="Verdana"/>
          <w:sz w:val="20"/>
          <w:szCs w:val="20"/>
        </w:rPr>
        <w:t>estrictions and limitations contained in section 40A would apply to those expenses which are otherwise allowable under other provisions of the Act. If the expenses are not allowable under other provisions of the Act no question of examining the provisions of section 40A would arise [</w:t>
      </w:r>
      <w:hyperlink r:id="rId11" w:history="1">
        <w:r w:rsidR="00473790" w:rsidRPr="009F5E0D">
          <w:rPr>
            <w:rStyle w:val="Hyperlink"/>
            <w:rFonts w:ascii="Verdana" w:hAnsi="Verdana"/>
            <w:sz w:val="20"/>
            <w:szCs w:val="20"/>
          </w:rPr>
          <w:t>N.M. Anniah &amp; Co. vs. CIT</w:t>
        </w:r>
      </w:hyperlink>
      <w:r w:rsidR="00473790" w:rsidRPr="009F5E0D">
        <w:rPr>
          <w:rFonts w:ascii="Verdana" w:hAnsi="Verdana"/>
          <w:i/>
          <w:iCs/>
          <w:sz w:val="20"/>
          <w:szCs w:val="20"/>
        </w:rPr>
        <w:t xml:space="preserve"> (1975) 101 ITR 348 (Kar)</w:t>
      </w:r>
      <w:r w:rsidR="00473790" w:rsidRPr="009F5E0D">
        <w:rPr>
          <w:rFonts w:ascii="Verdana" w:hAnsi="Verdana"/>
          <w:sz w:val="20"/>
          <w:szCs w:val="20"/>
        </w:rPr>
        <w:t>.</w:t>
      </w:r>
      <w:r w:rsidR="00184216" w:rsidRPr="009F5E0D">
        <w:rPr>
          <w:rFonts w:ascii="Verdana" w:hAnsi="Verdana"/>
          <w:sz w:val="20"/>
          <w:szCs w:val="20"/>
        </w:rPr>
        <w:t xml:space="preserve"> Similar view was taken in </w:t>
      </w:r>
      <w:hyperlink r:id="rId12" w:history="1">
        <w:r w:rsidR="00184216" w:rsidRPr="009F5E0D">
          <w:rPr>
            <w:rStyle w:val="Hyperlink"/>
            <w:rFonts w:ascii="Verdana" w:hAnsi="Verdana"/>
            <w:sz w:val="20"/>
            <w:szCs w:val="20"/>
          </w:rPr>
          <w:t>CIT vs. Motilal Khatri</w:t>
        </w:r>
      </w:hyperlink>
      <w:r w:rsidR="00184216" w:rsidRPr="009F5E0D">
        <w:rPr>
          <w:rFonts w:ascii="Verdana" w:hAnsi="Verdana"/>
          <w:i/>
          <w:iCs/>
          <w:sz w:val="20"/>
          <w:szCs w:val="20"/>
        </w:rPr>
        <w:t xml:space="preserve"> (2008) 218 CTR (Raj) 602</w:t>
      </w:r>
    </w:p>
    <w:p w:rsidR="00DA12A5" w:rsidRPr="009F5E0D" w:rsidRDefault="00354782" w:rsidP="00354782">
      <w:pPr>
        <w:pStyle w:val="NormalWeb"/>
        <w:numPr>
          <w:ilvl w:val="0"/>
          <w:numId w:val="1"/>
        </w:numPr>
        <w:jc w:val="both"/>
        <w:rPr>
          <w:rFonts w:ascii="Verdana" w:hAnsi="Verdana"/>
          <w:b/>
          <w:i/>
          <w:sz w:val="20"/>
          <w:szCs w:val="20"/>
          <w:u w:val="single"/>
        </w:rPr>
      </w:pPr>
      <w:r w:rsidRPr="009F5E0D">
        <w:rPr>
          <w:rFonts w:ascii="Verdana" w:hAnsi="Verdana"/>
          <w:b/>
          <w:i/>
          <w:sz w:val="20"/>
          <w:szCs w:val="20"/>
          <w:u w:val="single"/>
        </w:rPr>
        <w:t>Provisions of Sec 40A(3) are applicable to illegal business and also business carried out outside books of accounts :</w:t>
      </w:r>
    </w:p>
    <w:p w:rsidR="00184216" w:rsidRPr="009F5E0D" w:rsidRDefault="00473790" w:rsidP="00184216">
      <w:pPr>
        <w:pStyle w:val="NormalWeb"/>
        <w:numPr>
          <w:ilvl w:val="0"/>
          <w:numId w:val="9"/>
        </w:numPr>
        <w:jc w:val="both"/>
        <w:rPr>
          <w:rFonts w:ascii="Verdana" w:hAnsi="Verdana"/>
          <w:sz w:val="20"/>
          <w:szCs w:val="20"/>
        </w:rPr>
      </w:pPr>
      <w:r w:rsidRPr="009F5E0D">
        <w:rPr>
          <w:rFonts w:ascii="Verdana" w:hAnsi="Verdana"/>
          <w:sz w:val="20"/>
          <w:szCs w:val="20"/>
        </w:rPr>
        <w:t xml:space="preserve">Since the profits and gains derived from an illegal business like smuggling are liable to be taxed in accordance with the provisions of the Act including section 40A(3) the fact that in a business like smuggling it is not practicable to comply with provisions of section 40A(3) of making payments by crossed cheque or bank drafts in respect of purchases made of smuggled goods would not prevent operation of the said section and </w:t>
      </w:r>
      <w:r w:rsidRPr="009F5E0D">
        <w:rPr>
          <w:rFonts w:ascii="Verdana" w:hAnsi="Verdana"/>
          <w:sz w:val="20"/>
          <w:szCs w:val="20"/>
        </w:rPr>
        <w:lastRenderedPageBreak/>
        <w:t xml:space="preserve">the fact that it was not possible to establish identity of the parties from whom purchases were made would not exempt the assessee from obligation to establish such identity under </w:t>
      </w:r>
      <w:hyperlink r:id="rId13" w:history="1">
        <w:r w:rsidRPr="009F5E0D">
          <w:rPr>
            <w:rStyle w:val="Hyperlink"/>
            <w:rFonts w:ascii="Verdana" w:hAnsi="Verdana"/>
            <w:sz w:val="20"/>
            <w:szCs w:val="20"/>
          </w:rPr>
          <w:t>rule 6DD(j)</w:t>
        </w:r>
      </w:hyperlink>
      <w:r w:rsidRPr="009F5E0D">
        <w:rPr>
          <w:rFonts w:ascii="Verdana" w:hAnsi="Verdana"/>
          <w:sz w:val="20"/>
          <w:szCs w:val="20"/>
        </w:rPr>
        <w:t xml:space="preserve"> [</w:t>
      </w:r>
      <w:hyperlink r:id="rId14" w:history="1">
        <w:r w:rsidRPr="009F5E0D">
          <w:rPr>
            <w:rStyle w:val="Hyperlink"/>
            <w:rFonts w:ascii="Verdana" w:hAnsi="Verdana"/>
            <w:sz w:val="20"/>
            <w:szCs w:val="20"/>
          </w:rPr>
          <w:t>S. Venkata Subbarao vs. CIT</w:t>
        </w:r>
      </w:hyperlink>
      <w:r w:rsidRPr="009F5E0D">
        <w:rPr>
          <w:rFonts w:ascii="Verdana" w:hAnsi="Verdana"/>
          <w:i/>
          <w:iCs/>
          <w:sz w:val="20"/>
          <w:szCs w:val="20"/>
        </w:rPr>
        <w:t xml:space="preserve"> (1988) 173 ITR 340 (AP)</w:t>
      </w:r>
      <w:r w:rsidR="005E67CA" w:rsidRPr="009F5E0D">
        <w:rPr>
          <w:rFonts w:ascii="Verdana" w:hAnsi="Verdana"/>
          <w:i/>
          <w:iCs/>
          <w:sz w:val="20"/>
          <w:szCs w:val="20"/>
        </w:rPr>
        <w:t>.</w:t>
      </w:r>
    </w:p>
    <w:p w:rsidR="00184216" w:rsidRPr="009F5E0D" w:rsidRDefault="00473790" w:rsidP="00184216">
      <w:pPr>
        <w:pStyle w:val="NormalWeb"/>
        <w:numPr>
          <w:ilvl w:val="0"/>
          <w:numId w:val="9"/>
        </w:numPr>
        <w:jc w:val="both"/>
        <w:rPr>
          <w:rFonts w:ascii="Verdana" w:hAnsi="Verdana"/>
          <w:sz w:val="20"/>
          <w:szCs w:val="20"/>
        </w:rPr>
      </w:pPr>
      <w:r w:rsidRPr="009F5E0D">
        <w:rPr>
          <w:rFonts w:ascii="Verdana" w:hAnsi="Verdana"/>
          <w:sz w:val="20"/>
          <w:szCs w:val="20"/>
        </w:rPr>
        <w:t xml:space="preserve">In </w:t>
      </w:r>
      <w:hyperlink r:id="rId15" w:history="1">
        <w:r w:rsidRPr="009F5E0D">
          <w:rPr>
            <w:rStyle w:val="Hyperlink"/>
            <w:rFonts w:ascii="Verdana" w:hAnsi="Verdana"/>
            <w:sz w:val="20"/>
            <w:szCs w:val="20"/>
          </w:rPr>
          <w:t>CIT vs. Maddi Venkataratnam &amp; Co. P. Ltd.</w:t>
        </w:r>
      </w:hyperlink>
      <w:r w:rsidRPr="009F5E0D">
        <w:rPr>
          <w:rFonts w:ascii="Verdana" w:hAnsi="Verdana"/>
          <w:i/>
          <w:iCs/>
          <w:sz w:val="20"/>
          <w:szCs w:val="20"/>
        </w:rPr>
        <w:t xml:space="preserve"> (1983) 144 ITR 373 (AP)</w:t>
      </w:r>
      <w:r w:rsidR="00170AB9" w:rsidRPr="009F5E0D">
        <w:rPr>
          <w:rFonts w:ascii="Verdana" w:hAnsi="Verdana"/>
          <w:i/>
          <w:iCs/>
          <w:sz w:val="20"/>
          <w:szCs w:val="20"/>
        </w:rPr>
        <w:t>,</w:t>
      </w:r>
      <w:r w:rsidRPr="009F5E0D">
        <w:rPr>
          <w:rFonts w:ascii="Verdana" w:hAnsi="Verdana"/>
          <w:i/>
          <w:iCs/>
          <w:sz w:val="20"/>
          <w:szCs w:val="20"/>
        </w:rPr>
        <w:t xml:space="preserve"> </w:t>
      </w:r>
      <w:r w:rsidRPr="009F5E0D">
        <w:rPr>
          <w:rFonts w:ascii="Verdana" w:hAnsi="Verdana"/>
          <w:sz w:val="20"/>
          <w:szCs w:val="20"/>
        </w:rPr>
        <w:t xml:space="preserve">the assessee made an illegal cash payment of Rs. 2.95 lakhs to a party in the course of lawful business of export of tobacco and the High Court held that said expenditure was not allowable as deduction under </w:t>
      </w:r>
      <w:hyperlink r:id="rId16" w:history="1">
        <w:r w:rsidRPr="009F5E0D">
          <w:rPr>
            <w:rStyle w:val="Hyperlink"/>
            <w:rFonts w:ascii="Verdana" w:hAnsi="Verdana"/>
            <w:sz w:val="20"/>
            <w:szCs w:val="20"/>
          </w:rPr>
          <w:t>section 37</w:t>
        </w:r>
      </w:hyperlink>
      <w:r w:rsidRPr="009F5E0D">
        <w:rPr>
          <w:rFonts w:ascii="Verdana" w:hAnsi="Verdana"/>
          <w:sz w:val="20"/>
          <w:szCs w:val="20"/>
        </w:rPr>
        <w:t xml:space="preserve"> or </w:t>
      </w:r>
      <w:hyperlink r:id="rId17" w:history="1">
        <w:r w:rsidRPr="009F5E0D">
          <w:rPr>
            <w:rStyle w:val="Hyperlink"/>
            <w:rFonts w:ascii="Verdana" w:hAnsi="Verdana"/>
            <w:sz w:val="20"/>
            <w:szCs w:val="20"/>
          </w:rPr>
          <w:t>section 28</w:t>
        </w:r>
      </w:hyperlink>
      <w:r w:rsidRPr="009F5E0D">
        <w:rPr>
          <w:rFonts w:ascii="Verdana" w:hAnsi="Verdana"/>
          <w:sz w:val="20"/>
          <w:szCs w:val="20"/>
        </w:rPr>
        <w:t xml:space="preserve"> and that in the alternative said expenditure was disallowable under section 40A(3) and that an illegal payment cannot be brought within the exception under </w:t>
      </w:r>
      <w:hyperlink r:id="rId18" w:history="1">
        <w:r w:rsidRPr="009F5E0D">
          <w:rPr>
            <w:rStyle w:val="Hyperlink"/>
            <w:rFonts w:ascii="Verdana" w:hAnsi="Verdana"/>
            <w:sz w:val="20"/>
            <w:szCs w:val="20"/>
          </w:rPr>
          <w:t>rule 6DD(j)</w:t>
        </w:r>
      </w:hyperlink>
      <w:r w:rsidRPr="009F5E0D">
        <w:rPr>
          <w:rFonts w:ascii="Verdana" w:hAnsi="Verdana"/>
          <w:sz w:val="20"/>
          <w:szCs w:val="20"/>
        </w:rPr>
        <w:t>. The Supreme Court has affirmed the decision in</w:t>
      </w:r>
      <w:r w:rsidRPr="009F5E0D">
        <w:rPr>
          <w:rFonts w:ascii="Verdana" w:hAnsi="Verdana"/>
          <w:i/>
          <w:iCs/>
          <w:sz w:val="20"/>
          <w:szCs w:val="20"/>
        </w:rPr>
        <w:t xml:space="preserve"> </w:t>
      </w:r>
      <w:hyperlink r:id="rId19" w:history="1">
        <w:r w:rsidRPr="009F5E0D">
          <w:rPr>
            <w:rStyle w:val="Hyperlink"/>
            <w:rFonts w:ascii="Verdana" w:hAnsi="Verdana"/>
            <w:sz w:val="20"/>
            <w:szCs w:val="20"/>
          </w:rPr>
          <w:t>Maddi Venkataraman &amp; Co. (P) Ltd. vs. CIT</w:t>
        </w:r>
      </w:hyperlink>
      <w:r w:rsidRPr="009F5E0D">
        <w:rPr>
          <w:rFonts w:ascii="Verdana" w:hAnsi="Verdana"/>
          <w:i/>
          <w:iCs/>
          <w:sz w:val="20"/>
          <w:szCs w:val="20"/>
        </w:rPr>
        <w:t xml:space="preserve"> (1998) 144 CTR (SC) 214</w:t>
      </w:r>
      <w:r w:rsidR="00A93CCD" w:rsidRPr="009F5E0D">
        <w:rPr>
          <w:rFonts w:ascii="Verdana" w:hAnsi="Verdana"/>
          <w:i/>
          <w:iCs/>
          <w:sz w:val="20"/>
          <w:szCs w:val="20"/>
        </w:rPr>
        <w:t>.</w:t>
      </w:r>
    </w:p>
    <w:p w:rsidR="007B747C" w:rsidRPr="009F5E0D" w:rsidRDefault="00473790" w:rsidP="00184216">
      <w:pPr>
        <w:pStyle w:val="NormalWeb"/>
        <w:numPr>
          <w:ilvl w:val="0"/>
          <w:numId w:val="9"/>
        </w:numPr>
        <w:jc w:val="both"/>
        <w:rPr>
          <w:rFonts w:ascii="Verdana" w:hAnsi="Verdana"/>
          <w:sz w:val="20"/>
          <w:szCs w:val="20"/>
        </w:rPr>
      </w:pPr>
      <w:r w:rsidRPr="009F5E0D">
        <w:rPr>
          <w:rFonts w:ascii="Verdana" w:hAnsi="Verdana"/>
          <w:sz w:val="20"/>
          <w:szCs w:val="20"/>
        </w:rPr>
        <w:t xml:space="preserve">In </w:t>
      </w:r>
      <w:hyperlink r:id="rId20" w:history="1">
        <w:r w:rsidRPr="009F5E0D">
          <w:rPr>
            <w:rStyle w:val="Hyperlink"/>
            <w:rFonts w:ascii="Verdana" w:hAnsi="Verdana"/>
            <w:sz w:val="20"/>
            <w:szCs w:val="20"/>
          </w:rPr>
          <w:t>CIT vs. Hynoup Food &amp; Oil Ind. (P) Ltd.</w:t>
        </w:r>
      </w:hyperlink>
      <w:r w:rsidRPr="009F5E0D">
        <w:rPr>
          <w:rFonts w:ascii="Verdana" w:hAnsi="Verdana"/>
          <w:i/>
          <w:iCs/>
          <w:sz w:val="20"/>
          <w:szCs w:val="20"/>
        </w:rPr>
        <w:t xml:space="preserve"> (2005) 199 CTR (Guj) 350 </w:t>
      </w:r>
      <w:r w:rsidRPr="009F5E0D">
        <w:rPr>
          <w:rFonts w:ascii="Verdana" w:hAnsi="Verdana"/>
          <w:sz w:val="20"/>
          <w:szCs w:val="20"/>
        </w:rPr>
        <w:t>it was held that where income from an undisclosed business is brought to tax, provisions of s. 40A(3) and all other relevant provisions come into play—Evidence of genuineness of the payment and the identity of the payee are the first and foremost requirements for the applicability of r. 6DD(j)—When these two factors are established, only then the question as to whether the payment in cash was made in exceptional or unavoidabl</w:t>
      </w:r>
      <w:r w:rsidR="007B747C" w:rsidRPr="009F5E0D">
        <w:rPr>
          <w:rFonts w:ascii="Verdana" w:hAnsi="Verdana"/>
          <w:sz w:val="20"/>
          <w:szCs w:val="20"/>
        </w:rPr>
        <w:t>e circumstances can be examined.</w:t>
      </w:r>
    </w:p>
    <w:p w:rsidR="00473790" w:rsidRPr="009F5E0D" w:rsidRDefault="003309F4" w:rsidP="003309F4">
      <w:pPr>
        <w:pStyle w:val="NormalWeb"/>
        <w:numPr>
          <w:ilvl w:val="0"/>
          <w:numId w:val="1"/>
        </w:numPr>
        <w:jc w:val="both"/>
        <w:rPr>
          <w:rFonts w:ascii="Verdana" w:hAnsi="Verdana"/>
          <w:b/>
          <w:bCs/>
          <w:sz w:val="20"/>
          <w:szCs w:val="20"/>
        </w:rPr>
      </w:pPr>
      <w:r w:rsidRPr="009F5E0D">
        <w:rPr>
          <w:rFonts w:ascii="Verdana" w:hAnsi="Verdana"/>
          <w:b/>
          <w:bCs/>
          <w:sz w:val="20"/>
          <w:szCs w:val="20"/>
        </w:rPr>
        <w:t xml:space="preserve">REJECTION OF ACCOUNTS, ESTIMATION OF PROFIT </w:t>
      </w:r>
      <w:r w:rsidR="00473790" w:rsidRPr="009F5E0D">
        <w:rPr>
          <w:rFonts w:ascii="Verdana" w:hAnsi="Verdana"/>
          <w:b/>
          <w:bCs/>
          <w:sz w:val="20"/>
          <w:szCs w:val="20"/>
        </w:rPr>
        <w:t>VIS-A-VIS SECTION 40A(3)</w:t>
      </w:r>
    </w:p>
    <w:p w:rsidR="003309F4" w:rsidRPr="009F5E0D" w:rsidRDefault="00473790" w:rsidP="0005118A">
      <w:pPr>
        <w:pStyle w:val="NormalWeb"/>
        <w:numPr>
          <w:ilvl w:val="0"/>
          <w:numId w:val="2"/>
        </w:numPr>
        <w:jc w:val="both"/>
        <w:rPr>
          <w:rFonts w:ascii="Verdana" w:hAnsi="Verdana"/>
          <w:sz w:val="20"/>
          <w:szCs w:val="20"/>
        </w:rPr>
      </w:pPr>
      <w:r w:rsidRPr="009F5E0D">
        <w:rPr>
          <w:rFonts w:ascii="Verdana" w:hAnsi="Verdana"/>
          <w:sz w:val="20"/>
          <w:szCs w:val="20"/>
        </w:rPr>
        <w:t xml:space="preserve">In </w:t>
      </w:r>
      <w:hyperlink r:id="rId21" w:history="1">
        <w:r w:rsidRPr="009F5E0D">
          <w:rPr>
            <w:rStyle w:val="Hyperlink"/>
            <w:rFonts w:ascii="Verdana" w:hAnsi="Verdana"/>
            <w:sz w:val="20"/>
            <w:szCs w:val="20"/>
          </w:rPr>
          <w:t>CIT vs. Banwari Lal Bansidhar</w:t>
        </w:r>
      </w:hyperlink>
      <w:r w:rsidRPr="009F5E0D">
        <w:rPr>
          <w:rFonts w:ascii="Verdana" w:hAnsi="Verdana"/>
          <w:i/>
          <w:iCs/>
          <w:sz w:val="20"/>
          <w:szCs w:val="20"/>
        </w:rPr>
        <w:t xml:space="preserve"> (1998) 148 CTR (All) 533</w:t>
      </w:r>
      <w:r w:rsidRPr="009F5E0D">
        <w:rPr>
          <w:rFonts w:ascii="Verdana" w:hAnsi="Verdana"/>
          <w:sz w:val="20"/>
          <w:szCs w:val="20"/>
        </w:rPr>
        <w:t xml:space="preserve"> it was held that where the income is assessed at G.P. rate by rejecting the books of accounts of the assessee under s. 145(1), proviso, no disallowances can be made separately under </w:t>
      </w:r>
      <w:r w:rsidR="003309F4" w:rsidRPr="009F5E0D">
        <w:rPr>
          <w:rFonts w:ascii="Verdana" w:hAnsi="Verdana"/>
          <w:sz w:val="20"/>
          <w:szCs w:val="20"/>
        </w:rPr>
        <w:t>s. 40A(3).</w:t>
      </w:r>
    </w:p>
    <w:p w:rsidR="0005118A" w:rsidRPr="009F5E0D" w:rsidRDefault="003309F4" w:rsidP="003309F4">
      <w:pPr>
        <w:pStyle w:val="NormalWeb"/>
        <w:numPr>
          <w:ilvl w:val="0"/>
          <w:numId w:val="2"/>
        </w:numPr>
        <w:jc w:val="both"/>
        <w:rPr>
          <w:rFonts w:ascii="Verdana" w:hAnsi="Verdana"/>
          <w:sz w:val="20"/>
          <w:szCs w:val="20"/>
        </w:rPr>
      </w:pPr>
      <w:r w:rsidRPr="009F5E0D">
        <w:rPr>
          <w:rFonts w:ascii="Verdana" w:hAnsi="Verdana"/>
          <w:sz w:val="20"/>
          <w:szCs w:val="20"/>
        </w:rPr>
        <w:t xml:space="preserve">Above view was affirmed </w:t>
      </w:r>
      <w:r w:rsidR="0005118A" w:rsidRPr="009F5E0D">
        <w:rPr>
          <w:rFonts w:ascii="Verdana" w:hAnsi="Verdana"/>
          <w:sz w:val="20"/>
          <w:szCs w:val="20"/>
        </w:rPr>
        <w:t xml:space="preserve">In </w:t>
      </w:r>
      <w:hyperlink r:id="rId22" w:history="1">
        <w:r w:rsidR="0005118A" w:rsidRPr="009F5E0D">
          <w:rPr>
            <w:rStyle w:val="Hyperlink"/>
            <w:rFonts w:ascii="Verdana" w:hAnsi="Verdana"/>
            <w:sz w:val="20"/>
            <w:szCs w:val="20"/>
          </w:rPr>
          <w:t>CIT vs. Purshottamlal Tamrakar Uchehra</w:t>
        </w:r>
      </w:hyperlink>
      <w:r w:rsidR="0005118A" w:rsidRPr="009F5E0D">
        <w:rPr>
          <w:rFonts w:ascii="Verdana" w:hAnsi="Verdana"/>
          <w:i/>
          <w:iCs/>
          <w:sz w:val="20"/>
          <w:szCs w:val="20"/>
        </w:rPr>
        <w:t xml:space="preserve"> (2003) 184 CTR (MP) 349 </w:t>
      </w:r>
      <w:r w:rsidRPr="009F5E0D">
        <w:rPr>
          <w:rFonts w:ascii="Verdana" w:hAnsi="Verdana"/>
          <w:i/>
          <w:iCs/>
          <w:sz w:val="20"/>
          <w:szCs w:val="20"/>
        </w:rPr>
        <w:t xml:space="preserve">and </w:t>
      </w:r>
      <w:hyperlink r:id="rId23" w:history="1">
        <w:r w:rsidR="0005118A" w:rsidRPr="009F5E0D">
          <w:rPr>
            <w:rStyle w:val="Hyperlink"/>
            <w:rFonts w:ascii="Verdana" w:hAnsi="Verdana"/>
            <w:sz w:val="20"/>
            <w:szCs w:val="20"/>
          </w:rPr>
          <w:t>CIT vs. Smt. Santosh Jain</w:t>
        </w:r>
      </w:hyperlink>
      <w:r w:rsidR="0005118A" w:rsidRPr="009F5E0D">
        <w:rPr>
          <w:rFonts w:ascii="Verdana" w:hAnsi="Verdana"/>
          <w:i/>
          <w:iCs/>
          <w:sz w:val="20"/>
          <w:szCs w:val="20"/>
        </w:rPr>
        <w:t xml:space="preserve"> (2008) 296 ITR 324 (P&amp;H)</w:t>
      </w:r>
      <w:r w:rsidR="005007BC" w:rsidRPr="009F5E0D">
        <w:rPr>
          <w:rFonts w:ascii="Verdana" w:hAnsi="Verdana"/>
          <w:i/>
          <w:iCs/>
          <w:sz w:val="20"/>
          <w:szCs w:val="20"/>
        </w:rPr>
        <w:t>.</w:t>
      </w:r>
      <w:r w:rsidR="0005118A" w:rsidRPr="009F5E0D">
        <w:rPr>
          <w:rFonts w:ascii="Verdana" w:hAnsi="Verdana"/>
          <w:i/>
          <w:iCs/>
          <w:sz w:val="20"/>
          <w:szCs w:val="20"/>
        </w:rPr>
        <w:t xml:space="preserve"> </w:t>
      </w:r>
      <w:r w:rsidR="0005118A" w:rsidRPr="009F5E0D">
        <w:rPr>
          <w:rFonts w:ascii="Verdana" w:hAnsi="Verdana"/>
          <w:sz w:val="20"/>
          <w:szCs w:val="20"/>
        </w:rPr>
        <w:t>The adoption of gross profits rate takes care of expenditure otherwise than by crossed cheque or bank draft.</w:t>
      </w:r>
    </w:p>
    <w:p w:rsidR="003457DD" w:rsidRPr="009F5E0D" w:rsidRDefault="003457DD" w:rsidP="003309F4">
      <w:pPr>
        <w:pStyle w:val="NormalWeb"/>
        <w:numPr>
          <w:ilvl w:val="0"/>
          <w:numId w:val="2"/>
        </w:numPr>
        <w:jc w:val="both"/>
        <w:rPr>
          <w:rFonts w:ascii="Verdana" w:hAnsi="Verdana"/>
          <w:sz w:val="20"/>
          <w:szCs w:val="20"/>
        </w:rPr>
      </w:pPr>
      <w:r w:rsidRPr="009F5E0D">
        <w:rPr>
          <w:rFonts w:ascii="Verdana" w:hAnsi="Verdana"/>
          <w:sz w:val="20"/>
          <w:szCs w:val="20"/>
        </w:rPr>
        <w:t xml:space="preserve">However, in </w:t>
      </w:r>
      <w:r w:rsidR="00FC780A" w:rsidRPr="009F5E0D">
        <w:rPr>
          <w:rFonts w:ascii="Verdana" w:hAnsi="Verdana"/>
          <w:b/>
          <w:i/>
          <w:sz w:val="20"/>
          <w:szCs w:val="20"/>
        </w:rPr>
        <w:t xml:space="preserve">Sai Metal Works </w:t>
      </w:r>
      <w:r w:rsidR="00CC5878" w:rsidRPr="009F5E0D">
        <w:rPr>
          <w:rFonts w:ascii="Verdana" w:hAnsi="Verdana"/>
          <w:b/>
          <w:i/>
          <w:sz w:val="20"/>
          <w:szCs w:val="20"/>
        </w:rPr>
        <w:t xml:space="preserve">ITA 125/2004 dtd. 10.03.2011 </w:t>
      </w:r>
      <w:r w:rsidR="00FC780A" w:rsidRPr="009F5E0D">
        <w:rPr>
          <w:rFonts w:ascii="Verdana" w:hAnsi="Verdana"/>
          <w:b/>
          <w:i/>
          <w:sz w:val="20"/>
          <w:szCs w:val="20"/>
        </w:rPr>
        <w:t xml:space="preserve">(P&amp;H), </w:t>
      </w:r>
      <w:r w:rsidR="00FC780A" w:rsidRPr="009F5E0D">
        <w:rPr>
          <w:rFonts w:ascii="Verdana" w:hAnsi="Verdana"/>
          <w:sz w:val="20"/>
          <w:szCs w:val="20"/>
        </w:rPr>
        <w:t xml:space="preserve">it was held that disallowance u/s </w:t>
      </w:r>
      <w:proofErr w:type="gramStart"/>
      <w:r w:rsidR="00FC780A" w:rsidRPr="009F5E0D">
        <w:rPr>
          <w:rFonts w:ascii="Verdana" w:hAnsi="Verdana"/>
          <w:sz w:val="20"/>
          <w:szCs w:val="20"/>
        </w:rPr>
        <w:t>40A(</w:t>
      </w:r>
      <w:proofErr w:type="gramEnd"/>
      <w:r w:rsidR="00FC780A" w:rsidRPr="009F5E0D">
        <w:rPr>
          <w:rFonts w:ascii="Verdana" w:hAnsi="Verdana"/>
          <w:sz w:val="20"/>
          <w:szCs w:val="20"/>
        </w:rPr>
        <w:t>3) can be made in block assessment even if profit is estimated by applying GP Rate.</w:t>
      </w:r>
    </w:p>
    <w:p w:rsidR="00C76A98" w:rsidRPr="009F5E0D" w:rsidRDefault="00554292" w:rsidP="00A01438">
      <w:pPr>
        <w:pStyle w:val="NormalWeb"/>
        <w:jc w:val="both"/>
        <w:rPr>
          <w:rFonts w:ascii="Verdana" w:hAnsi="Verdana"/>
          <w:b/>
          <w:bCs/>
          <w:sz w:val="20"/>
          <w:szCs w:val="20"/>
        </w:rPr>
      </w:pPr>
      <w:r w:rsidRPr="009F5E0D">
        <w:rPr>
          <w:rFonts w:ascii="Verdana" w:hAnsi="Verdana"/>
          <w:b/>
          <w:bCs/>
          <w:sz w:val="20"/>
          <w:szCs w:val="20"/>
        </w:rPr>
        <w:t>6.</w:t>
      </w:r>
      <w:r w:rsidRPr="009F5E0D">
        <w:rPr>
          <w:rFonts w:ascii="Verdana" w:hAnsi="Verdana"/>
          <w:b/>
          <w:bCs/>
          <w:sz w:val="20"/>
          <w:szCs w:val="20"/>
        </w:rPr>
        <w:tab/>
      </w:r>
      <w:r w:rsidR="00473790" w:rsidRPr="009F5E0D">
        <w:rPr>
          <w:rFonts w:ascii="Verdana" w:hAnsi="Verdana"/>
          <w:b/>
          <w:bCs/>
          <w:sz w:val="20"/>
          <w:szCs w:val="20"/>
        </w:rPr>
        <w:t xml:space="preserve">PAYMENTS </w:t>
      </w:r>
      <w:r w:rsidR="006320E1" w:rsidRPr="009F5E0D">
        <w:rPr>
          <w:rFonts w:ascii="Verdana" w:hAnsi="Verdana"/>
          <w:b/>
          <w:bCs/>
          <w:sz w:val="20"/>
          <w:szCs w:val="20"/>
        </w:rPr>
        <w:t>TO</w:t>
      </w:r>
      <w:r w:rsidR="00473790" w:rsidRPr="009F5E0D">
        <w:rPr>
          <w:rFonts w:ascii="Verdana" w:hAnsi="Verdana"/>
          <w:b/>
          <w:bCs/>
          <w:sz w:val="20"/>
          <w:szCs w:val="20"/>
        </w:rPr>
        <w:t xml:space="preserve"> SUB-CONTRACTORS</w:t>
      </w:r>
    </w:p>
    <w:p w:rsidR="00473790" w:rsidRPr="009F5E0D" w:rsidRDefault="00E84445" w:rsidP="00A01438">
      <w:pPr>
        <w:pStyle w:val="NormalWeb"/>
        <w:jc w:val="both"/>
        <w:rPr>
          <w:rFonts w:ascii="Verdana" w:hAnsi="Verdana"/>
          <w:b/>
          <w:bCs/>
          <w:sz w:val="20"/>
          <w:szCs w:val="20"/>
        </w:rPr>
      </w:pPr>
      <w:r w:rsidRPr="009F5E0D">
        <w:rPr>
          <w:rFonts w:ascii="Verdana" w:hAnsi="Verdana"/>
          <w:b/>
          <w:bCs/>
          <w:sz w:val="20"/>
          <w:szCs w:val="20"/>
        </w:rPr>
        <w:t>i.</w:t>
      </w:r>
      <w:r w:rsidRPr="009F5E0D">
        <w:rPr>
          <w:rFonts w:ascii="Verdana" w:hAnsi="Verdana"/>
          <w:b/>
          <w:bCs/>
          <w:sz w:val="20"/>
          <w:szCs w:val="20"/>
        </w:rPr>
        <w:tab/>
      </w:r>
      <w:r w:rsidR="00473790" w:rsidRPr="009F5E0D">
        <w:rPr>
          <w:rFonts w:ascii="Verdana" w:hAnsi="Verdana"/>
          <w:sz w:val="20"/>
          <w:szCs w:val="20"/>
        </w:rPr>
        <w:t xml:space="preserve">Payment made by assessee-principal contractor to the sub-contractor pursuant to an agreement would not attract provisions of s. </w:t>
      </w:r>
      <w:proofErr w:type="gramStart"/>
      <w:r w:rsidR="00473790" w:rsidRPr="009F5E0D">
        <w:rPr>
          <w:rFonts w:ascii="Verdana" w:hAnsi="Verdana"/>
          <w:sz w:val="20"/>
          <w:szCs w:val="20"/>
        </w:rPr>
        <w:t>40A(</w:t>
      </w:r>
      <w:proofErr w:type="gramEnd"/>
      <w:r w:rsidR="00473790" w:rsidRPr="009F5E0D">
        <w:rPr>
          <w:rFonts w:ascii="Verdana" w:hAnsi="Verdana"/>
          <w:sz w:val="20"/>
          <w:szCs w:val="20"/>
        </w:rPr>
        <w:t xml:space="preserve">A)(3) r/w r. 6DD. </w:t>
      </w:r>
      <w:hyperlink r:id="rId24" w:history="1">
        <w:r w:rsidR="00473790" w:rsidRPr="009F5E0D">
          <w:rPr>
            <w:rStyle w:val="Hyperlink"/>
            <w:rFonts w:ascii="Verdana" w:hAnsi="Verdana"/>
            <w:sz w:val="20"/>
            <w:szCs w:val="20"/>
          </w:rPr>
          <w:t xml:space="preserve">CIT &amp; Anr. </w:t>
        </w:r>
        <w:proofErr w:type="gramStart"/>
        <w:r w:rsidR="00473790" w:rsidRPr="009F5E0D">
          <w:rPr>
            <w:rStyle w:val="Hyperlink"/>
            <w:rFonts w:ascii="Verdana" w:hAnsi="Verdana"/>
            <w:sz w:val="20"/>
            <w:szCs w:val="20"/>
          </w:rPr>
          <w:t>vs</w:t>
        </w:r>
        <w:proofErr w:type="gramEnd"/>
        <w:r w:rsidR="00473790" w:rsidRPr="009F5E0D">
          <w:rPr>
            <w:rStyle w:val="Hyperlink"/>
            <w:rFonts w:ascii="Verdana" w:hAnsi="Verdana"/>
            <w:sz w:val="20"/>
            <w:szCs w:val="20"/>
          </w:rPr>
          <w:t>. Balaji Engineering And Construction Works</w:t>
        </w:r>
      </w:hyperlink>
      <w:r w:rsidR="00473790" w:rsidRPr="009F5E0D">
        <w:rPr>
          <w:rFonts w:ascii="Verdana" w:hAnsi="Verdana"/>
          <w:i/>
          <w:iCs/>
          <w:sz w:val="20"/>
          <w:szCs w:val="20"/>
        </w:rPr>
        <w:t xml:space="preserve"> (2010) 323 ITR 351 (Kar).</w:t>
      </w:r>
    </w:p>
    <w:p w:rsidR="00473790" w:rsidRPr="009F5E0D" w:rsidRDefault="00E84445" w:rsidP="00A01438">
      <w:pPr>
        <w:pStyle w:val="NormalWeb"/>
        <w:jc w:val="both"/>
        <w:rPr>
          <w:rFonts w:ascii="Verdana" w:hAnsi="Verdana"/>
          <w:b/>
          <w:bCs/>
          <w:sz w:val="20"/>
          <w:szCs w:val="20"/>
        </w:rPr>
      </w:pPr>
      <w:r w:rsidRPr="009F5E0D">
        <w:rPr>
          <w:rFonts w:ascii="Verdana" w:hAnsi="Verdana"/>
          <w:b/>
          <w:bCs/>
          <w:sz w:val="20"/>
          <w:szCs w:val="20"/>
        </w:rPr>
        <w:t>7.</w:t>
      </w:r>
      <w:r w:rsidRPr="009F5E0D">
        <w:rPr>
          <w:rFonts w:ascii="Verdana" w:hAnsi="Verdana"/>
          <w:b/>
          <w:bCs/>
          <w:sz w:val="20"/>
          <w:szCs w:val="20"/>
        </w:rPr>
        <w:tab/>
      </w:r>
      <w:r w:rsidR="00473790" w:rsidRPr="009F5E0D">
        <w:rPr>
          <w:rFonts w:ascii="Verdana" w:hAnsi="Verdana"/>
          <w:b/>
          <w:bCs/>
          <w:sz w:val="20"/>
          <w:szCs w:val="20"/>
        </w:rPr>
        <w:t>Payment jointly by cash and post dated bearer cheque</w:t>
      </w:r>
    </w:p>
    <w:p w:rsidR="00B679E0" w:rsidRPr="009F5E0D" w:rsidRDefault="00473790" w:rsidP="00A01438">
      <w:pPr>
        <w:pStyle w:val="NormalWeb"/>
        <w:numPr>
          <w:ilvl w:val="0"/>
          <w:numId w:val="11"/>
        </w:numPr>
        <w:jc w:val="both"/>
        <w:rPr>
          <w:rFonts w:ascii="Verdana" w:hAnsi="Verdana"/>
          <w:b/>
          <w:bCs/>
          <w:sz w:val="20"/>
          <w:szCs w:val="20"/>
        </w:rPr>
      </w:pPr>
      <w:r w:rsidRPr="009F5E0D">
        <w:rPr>
          <w:rFonts w:ascii="Verdana" w:hAnsi="Verdana"/>
          <w:sz w:val="20"/>
          <w:szCs w:val="20"/>
        </w:rPr>
        <w:t xml:space="preserve">Where assessee paid cash and gave a post-dated bearer cheque to the party and when the cash paid did not exceed two thousand five hundred rupees but cash paid together with amount represented by post-dated bearer cheque exceeded two thousand five hundred rupees, it was held that section 40A(3) was not attracted because amount represented by post-dated cheque could not be regarded to have been paid on the day in question in view of the fact that payment by post-dated cheque could be </w:t>
      </w:r>
      <w:r w:rsidRPr="009F5E0D">
        <w:rPr>
          <w:rFonts w:ascii="Verdana" w:hAnsi="Verdana"/>
          <w:sz w:val="20"/>
          <w:szCs w:val="20"/>
        </w:rPr>
        <w:lastRenderedPageBreak/>
        <w:t>regarded to have been made on the date of its maturity and encashment. It was also held that payment by post-dated cheque was a recognized method of making payment in business circles and was not a device to defeat any provision of law [</w:t>
      </w:r>
      <w:hyperlink r:id="rId25" w:history="1">
        <w:r w:rsidRPr="009F5E0D">
          <w:rPr>
            <w:rStyle w:val="Hyperlink"/>
            <w:rFonts w:ascii="Verdana" w:hAnsi="Verdana"/>
            <w:sz w:val="20"/>
            <w:szCs w:val="20"/>
          </w:rPr>
          <w:t>H.A. Nek Mohd. &amp; Sons. vs. CIT</w:t>
        </w:r>
      </w:hyperlink>
      <w:r w:rsidRPr="009F5E0D">
        <w:rPr>
          <w:rFonts w:ascii="Verdana" w:hAnsi="Verdana"/>
          <w:i/>
          <w:iCs/>
          <w:sz w:val="20"/>
          <w:szCs w:val="20"/>
        </w:rPr>
        <w:t xml:space="preserve"> (1982) 135 ITR 501 (All) </w:t>
      </w:r>
    </w:p>
    <w:p w:rsidR="00473790" w:rsidRPr="009F5E0D" w:rsidRDefault="002034CD" w:rsidP="002034CD">
      <w:pPr>
        <w:pStyle w:val="NormalWeb"/>
        <w:jc w:val="both"/>
        <w:rPr>
          <w:rFonts w:ascii="Verdana" w:hAnsi="Verdana"/>
          <w:sz w:val="20"/>
          <w:szCs w:val="20"/>
        </w:rPr>
      </w:pPr>
      <w:r w:rsidRPr="009F5E0D">
        <w:rPr>
          <w:rFonts w:ascii="Verdana" w:hAnsi="Verdana"/>
          <w:i/>
          <w:iCs/>
          <w:sz w:val="20"/>
          <w:szCs w:val="20"/>
        </w:rPr>
        <w:t>8.</w:t>
      </w:r>
      <w:r w:rsidR="00473790" w:rsidRPr="009F5E0D">
        <w:rPr>
          <w:rFonts w:ascii="Verdana" w:hAnsi="Verdana"/>
          <w:b/>
          <w:bCs/>
          <w:sz w:val="20"/>
          <w:szCs w:val="20"/>
        </w:rPr>
        <w:t xml:space="preserve"> Scope of cl. (e) of </w:t>
      </w:r>
      <w:hyperlink r:id="rId26" w:history="1">
        <w:r w:rsidR="00473790" w:rsidRPr="009F5E0D">
          <w:rPr>
            <w:rStyle w:val="Hyperlink"/>
            <w:rFonts w:ascii="Verdana" w:hAnsi="Verdana"/>
            <w:b/>
            <w:bCs/>
            <w:sz w:val="20"/>
            <w:szCs w:val="20"/>
          </w:rPr>
          <w:t>rule 6DD</w:t>
        </w:r>
      </w:hyperlink>
    </w:p>
    <w:p w:rsidR="00473790" w:rsidRPr="009F5E0D" w:rsidRDefault="00473790" w:rsidP="008F7663">
      <w:pPr>
        <w:pStyle w:val="NormalWeb"/>
        <w:numPr>
          <w:ilvl w:val="0"/>
          <w:numId w:val="12"/>
        </w:numPr>
        <w:jc w:val="both"/>
        <w:rPr>
          <w:rFonts w:ascii="Verdana" w:hAnsi="Verdana"/>
          <w:sz w:val="20"/>
          <w:szCs w:val="20"/>
        </w:rPr>
      </w:pPr>
      <w:r w:rsidRPr="009F5E0D">
        <w:rPr>
          <w:rFonts w:ascii="Verdana" w:hAnsi="Verdana"/>
          <w:sz w:val="20"/>
          <w:szCs w:val="20"/>
        </w:rPr>
        <w:t xml:space="preserve">There is limited area within which payments by book adjustment can be considered to fall within the exception to the rule of prohibition contained in section </w:t>
      </w:r>
      <w:proofErr w:type="gramStart"/>
      <w:r w:rsidRPr="009F5E0D">
        <w:rPr>
          <w:rFonts w:ascii="Verdana" w:hAnsi="Verdana"/>
          <w:sz w:val="20"/>
          <w:szCs w:val="20"/>
        </w:rPr>
        <w:t>40A(</w:t>
      </w:r>
      <w:proofErr w:type="gramEnd"/>
      <w:r w:rsidRPr="009F5E0D">
        <w:rPr>
          <w:rFonts w:ascii="Verdana" w:hAnsi="Verdana"/>
          <w:sz w:val="20"/>
          <w:szCs w:val="20"/>
        </w:rPr>
        <w:t xml:space="preserve">3). According to cl. (e) of </w:t>
      </w:r>
      <w:hyperlink r:id="rId27" w:history="1">
        <w:r w:rsidRPr="009F5E0D">
          <w:rPr>
            <w:rStyle w:val="Hyperlink"/>
            <w:rFonts w:ascii="Verdana" w:hAnsi="Verdana"/>
            <w:sz w:val="20"/>
            <w:szCs w:val="20"/>
          </w:rPr>
          <w:t>rule 6DD</w:t>
        </w:r>
      </w:hyperlink>
      <w:r w:rsidRPr="009F5E0D">
        <w:rPr>
          <w:rFonts w:ascii="Verdana" w:hAnsi="Verdana"/>
          <w:sz w:val="20"/>
          <w:szCs w:val="20"/>
        </w:rPr>
        <w:t xml:space="preserve"> it is the expenditure in respect of which the payment by way of book adjustment is made to the payee who directly supplied the goods or services to the assessee, that falls outside the mischief of rule of prohibition in section </w:t>
      </w:r>
      <w:proofErr w:type="gramStart"/>
      <w:r w:rsidRPr="009F5E0D">
        <w:rPr>
          <w:rFonts w:ascii="Verdana" w:hAnsi="Verdana"/>
          <w:sz w:val="20"/>
          <w:szCs w:val="20"/>
        </w:rPr>
        <w:t>40A(</w:t>
      </w:r>
      <w:proofErr w:type="gramEnd"/>
      <w:r w:rsidRPr="009F5E0D">
        <w:rPr>
          <w:rFonts w:ascii="Verdana" w:hAnsi="Verdana"/>
          <w:sz w:val="20"/>
          <w:szCs w:val="20"/>
        </w:rPr>
        <w:t xml:space="preserve">3). The payments by book adjustments in the accounts of third parties would be hit by the prohibition contained in section </w:t>
      </w:r>
      <w:proofErr w:type="gramStart"/>
      <w:r w:rsidRPr="009F5E0D">
        <w:rPr>
          <w:rFonts w:ascii="Verdana" w:hAnsi="Verdana"/>
          <w:sz w:val="20"/>
          <w:szCs w:val="20"/>
        </w:rPr>
        <w:t>40A(</w:t>
      </w:r>
      <w:proofErr w:type="gramEnd"/>
      <w:r w:rsidRPr="009F5E0D">
        <w:rPr>
          <w:rFonts w:ascii="Verdana" w:hAnsi="Verdana"/>
          <w:sz w:val="20"/>
          <w:szCs w:val="20"/>
        </w:rPr>
        <w:t>3) [</w:t>
      </w:r>
      <w:hyperlink r:id="rId28" w:history="1">
        <w:r w:rsidRPr="009F5E0D">
          <w:rPr>
            <w:rStyle w:val="Hyperlink"/>
            <w:rFonts w:ascii="Verdana" w:hAnsi="Verdana"/>
            <w:sz w:val="20"/>
            <w:szCs w:val="20"/>
          </w:rPr>
          <w:t>CIT vs. Kishanchand Maheshwari Dass</w:t>
        </w:r>
      </w:hyperlink>
      <w:r w:rsidRPr="009F5E0D">
        <w:rPr>
          <w:rFonts w:ascii="Verdana" w:hAnsi="Verdana"/>
          <w:i/>
          <w:iCs/>
          <w:sz w:val="20"/>
          <w:szCs w:val="20"/>
        </w:rPr>
        <w:t xml:space="preserve"> (1980) 121 ITR 232 (P&amp;H)</w:t>
      </w:r>
      <w:r w:rsidRPr="009F5E0D">
        <w:rPr>
          <w:rFonts w:ascii="Verdana" w:hAnsi="Verdana"/>
          <w:sz w:val="20"/>
          <w:szCs w:val="20"/>
        </w:rPr>
        <w:t>.</w:t>
      </w:r>
    </w:p>
    <w:p w:rsidR="001C36A1" w:rsidRPr="009F5E0D" w:rsidRDefault="001C36A1" w:rsidP="008F7663">
      <w:pPr>
        <w:pStyle w:val="NormalWeb"/>
        <w:numPr>
          <w:ilvl w:val="0"/>
          <w:numId w:val="12"/>
        </w:numPr>
        <w:jc w:val="both"/>
        <w:rPr>
          <w:rFonts w:ascii="Verdana" w:hAnsi="Verdana"/>
          <w:sz w:val="20"/>
          <w:szCs w:val="20"/>
        </w:rPr>
      </w:pPr>
      <w:r w:rsidRPr="009F5E0D">
        <w:rPr>
          <w:rFonts w:ascii="Verdana" w:hAnsi="Verdana"/>
          <w:sz w:val="20"/>
          <w:szCs w:val="20"/>
        </w:rPr>
        <w:t xml:space="preserve">According to </w:t>
      </w:r>
      <w:hyperlink r:id="rId29" w:history="1">
        <w:r w:rsidRPr="009F5E0D">
          <w:rPr>
            <w:rStyle w:val="Hyperlink"/>
            <w:rFonts w:ascii="Verdana" w:hAnsi="Verdana"/>
            <w:sz w:val="20"/>
            <w:szCs w:val="20"/>
          </w:rPr>
          <w:t>CIT vs. Muthoot Bankers</w:t>
        </w:r>
      </w:hyperlink>
      <w:r w:rsidRPr="009F5E0D">
        <w:rPr>
          <w:rFonts w:ascii="Verdana" w:hAnsi="Verdana"/>
          <w:i/>
          <w:iCs/>
          <w:sz w:val="20"/>
          <w:szCs w:val="20"/>
        </w:rPr>
        <w:t xml:space="preserve"> (2000) 162 CTR (Ker) 414</w:t>
      </w:r>
      <w:r w:rsidRPr="009F5E0D">
        <w:rPr>
          <w:rFonts w:ascii="Verdana" w:hAnsi="Verdana"/>
          <w:sz w:val="20"/>
          <w:szCs w:val="20"/>
        </w:rPr>
        <w:t xml:space="preserve">, s. </w:t>
      </w:r>
      <w:proofErr w:type="gramStart"/>
      <w:r w:rsidRPr="009F5E0D">
        <w:rPr>
          <w:rFonts w:ascii="Verdana" w:hAnsi="Verdana"/>
          <w:sz w:val="20"/>
          <w:szCs w:val="20"/>
        </w:rPr>
        <w:t>40A(</w:t>
      </w:r>
      <w:proofErr w:type="gramEnd"/>
      <w:r w:rsidRPr="009F5E0D">
        <w:rPr>
          <w:rFonts w:ascii="Verdana" w:hAnsi="Verdana"/>
          <w:sz w:val="20"/>
          <w:szCs w:val="20"/>
        </w:rPr>
        <w:t>3) has no application where interest is credited to creditor’s account and there is no cash payment.</w:t>
      </w:r>
    </w:p>
    <w:p w:rsidR="008F7663" w:rsidRPr="009F5E0D" w:rsidRDefault="008F7663" w:rsidP="00A01438">
      <w:pPr>
        <w:pStyle w:val="NormalWeb"/>
        <w:jc w:val="both"/>
        <w:rPr>
          <w:rFonts w:ascii="Verdana" w:hAnsi="Verdana"/>
          <w:b/>
          <w:bCs/>
          <w:sz w:val="20"/>
          <w:szCs w:val="20"/>
        </w:rPr>
      </w:pPr>
      <w:r w:rsidRPr="009F5E0D">
        <w:rPr>
          <w:rFonts w:ascii="Verdana" w:hAnsi="Verdana"/>
          <w:b/>
          <w:bCs/>
          <w:sz w:val="20"/>
          <w:szCs w:val="20"/>
        </w:rPr>
        <w:t>9.</w:t>
      </w:r>
      <w:r w:rsidRPr="009F5E0D">
        <w:rPr>
          <w:rFonts w:ascii="Verdana" w:hAnsi="Verdana"/>
          <w:b/>
          <w:bCs/>
          <w:sz w:val="20"/>
          <w:szCs w:val="20"/>
        </w:rPr>
        <w:tab/>
      </w:r>
      <w:r w:rsidR="00473790" w:rsidRPr="009F5E0D">
        <w:rPr>
          <w:rFonts w:ascii="Verdana" w:hAnsi="Verdana"/>
          <w:b/>
          <w:bCs/>
          <w:sz w:val="20"/>
          <w:szCs w:val="20"/>
        </w:rPr>
        <w:t xml:space="preserve">Payment to Government Rule </w:t>
      </w:r>
      <w:proofErr w:type="gramStart"/>
      <w:r w:rsidR="00473790" w:rsidRPr="009F5E0D">
        <w:rPr>
          <w:rFonts w:ascii="Verdana" w:hAnsi="Verdana"/>
          <w:b/>
          <w:bCs/>
          <w:sz w:val="20"/>
          <w:szCs w:val="20"/>
        </w:rPr>
        <w:t>6DD(</w:t>
      </w:r>
      <w:proofErr w:type="gramEnd"/>
      <w:r w:rsidR="00473790" w:rsidRPr="009F5E0D">
        <w:rPr>
          <w:rFonts w:ascii="Verdana" w:hAnsi="Verdana"/>
          <w:b/>
          <w:bCs/>
          <w:sz w:val="20"/>
          <w:szCs w:val="20"/>
        </w:rPr>
        <w:t>b)</w:t>
      </w:r>
    </w:p>
    <w:p w:rsidR="00473790" w:rsidRPr="009F5E0D" w:rsidRDefault="00473790" w:rsidP="00FE2519">
      <w:pPr>
        <w:pStyle w:val="NormalWeb"/>
        <w:numPr>
          <w:ilvl w:val="0"/>
          <w:numId w:val="13"/>
        </w:numPr>
        <w:jc w:val="both"/>
        <w:rPr>
          <w:rFonts w:ascii="Verdana" w:hAnsi="Verdana"/>
          <w:sz w:val="20"/>
          <w:szCs w:val="20"/>
        </w:rPr>
      </w:pPr>
      <w:r w:rsidRPr="009F5E0D">
        <w:rPr>
          <w:rFonts w:ascii="Verdana" w:hAnsi="Verdana"/>
          <w:sz w:val="20"/>
          <w:szCs w:val="20"/>
        </w:rPr>
        <w:t>Cash payments made by the assessee to the State Government who was granted the contract to collect royalty on behalf of the Government cannot be disallowed under s. 40A(3) in view of r. 6DD(b). [</w:t>
      </w:r>
      <w:hyperlink r:id="rId30" w:history="1">
        <w:r w:rsidRPr="009F5E0D">
          <w:rPr>
            <w:rStyle w:val="Hyperlink"/>
            <w:rFonts w:ascii="Verdana" w:hAnsi="Verdana"/>
            <w:sz w:val="20"/>
            <w:szCs w:val="20"/>
          </w:rPr>
          <w:t>CIT vs. Kalyan Prasad Gupta</w:t>
        </w:r>
      </w:hyperlink>
      <w:r w:rsidRPr="009F5E0D">
        <w:rPr>
          <w:rFonts w:ascii="Verdana" w:hAnsi="Verdana"/>
          <w:i/>
          <w:iCs/>
          <w:sz w:val="20"/>
          <w:szCs w:val="20"/>
        </w:rPr>
        <w:t xml:space="preserve"> (2011) 239 CTR (Raj) 447</w:t>
      </w:r>
      <w:r w:rsidRPr="009F5E0D">
        <w:rPr>
          <w:rFonts w:ascii="Verdana" w:hAnsi="Verdana"/>
          <w:sz w:val="20"/>
          <w:szCs w:val="20"/>
        </w:rPr>
        <w:t>]</w:t>
      </w:r>
    </w:p>
    <w:p w:rsidR="00FE2519" w:rsidRPr="009F5E0D" w:rsidRDefault="00EB7202" w:rsidP="00FE2519">
      <w:pPr>
        <w:pStyle w:val="NormalWeb"/>
        <w:numPr>
          <w:ilvl w:val="0"/>
          <w:numId w:val="13"/>
        </w:numPr>
        <w:jc w:val="both"/>
        <w:rPr>
          <w:rFonts w:ascii="Verdana" w:hAnsi="Verdana"/>
          <w:b/>
          <w:bCs/>
          <w:sz w:val="20"/>
          <w:szCs w:val="20"/>
        </w:rPr>
      </w:pPr>
      <w:r w:rsidRPr="009F5E0D">
        <w:rPr>
          <w:rFonts w:ascii="Verdana" w:hAnsi="Verdana" w:cs="Arial"/>
          <w:iCs/>
          <w:color w:val="222222"/>
          <w:sz w:val="20"/>
          <w:szCs w:val="20"/>
          <w:bdr w:val="none" w:sz="0" w:space="0" w:color="auto" w:frame="1"/>
          <w:shd w:val="clear" w:color="auto" w:fill="FFFFFF"/>
        </w:rPr>
        <w:t>Cash payments by assessee for scarp purchase from railway being part of Union of India has to treated as legal tender and payment cannot be disallowed u/s 40A(3) of the Act</w:t>
      </w:r>
      <w:r w:rsidR="00561DF7" w:rsidRPr="009F5E0D">
        <w:rPr>
          <w:rFonts w:ascii="Verdana" w:hAnsi="Verdana" w:cs="Arial"/>
          <w:iCs/>
          <w:color w:val="222222"/>
          <w:sz w:val="20"/>
          <w:szCs w:val="20"/>
          <w:bdr w:val="none" w:sz="0" w:space="0" w:color="auto" w:frame="1"/>
          <w:shd w:val="clear" w:color="auto" w:fill="FFFFFF"/>
        </w:rPr>
        <w:t xml:space="preserve">. </w:t>
      </w:r>
      <w:r w:rsidR="00561DF7" w:rsidRPr="009F5E0D">
        <w:rPr>
          <w:rFonts w:ascii="Verdana" w:hAnsi="Verdana" w:cs="Arial"/>
          <w:iCs/>
          <w:color w:val="222222"/>
          <w:sz w:val="20"/>
          <w:szCs w:val="20"/>
          <w:bdr w:val="none" w:sz="0" w:space="0" w:color="auto" w:frame="1"/>
          <w:shd w:val="clear" w:color="auto" w:fill="FFFFFF"/>
        </w:rPr>
        <w:t>Devendrappa Kalal vs CIT ITA</w:t>
      </w:r>
      <w:proofErr w:type="gramStart"/>
      <w:r w:rsidR="00561DF7" w:rsidRPr="009F5E0D">
        <w:rPr>
          <w:rFonts w:ascii="Verdana" w:hAnsi="Verdana" w:cs="Arial"/>
          <w:iCs/>
          <w:color w:val="222222"/>
          <w:sz w:val="20"/>
          <w:szCs w:val="20"/>
          <w:bdr w:val="none" w:sz="0" w:space="0" w:color="auto" w:frame="1"/>
          <w:shd w:val="clear" w:color="auto" w:fill="FFFFFF"/>
        </w:rPr>
        <w:t>  5018</w:t>
      </w:r>
      <w:proofErr w:type="gramEnd"/>
      <w:r w:rsidR="00561DF7" w:rsidRPr="009F5E0D">
        <w:rPr>
          <w:rFonts w:ascii="Verdana" w:hAnsi="Verdana" w:cs="Arial"/>
          <w:iCs/>
          <w:color w:val="222222"/>
          <w:sz w:val="20"/>
          <w:szCs w:val="20"/>
          <w:bdr w:val="none" w:sz="0" w:space="0" w:color="auto" w:frame="1"/>
          <w:shd w:val="clear" w:color="auto" w:fill="FFFFFF"/>
        </w:rPr>
        <w:t>/2012 (18/9/2013)</w:t>
      </w:r>
      <w:r w:rsidR="00561DF7" w:rsidRPr="009F5E0D">
        <w:rPr>
          <w:rFonts w:ascii="Verdana" w:hAnsi="Verdana" w:cs="Arial"/>
          <w:iCs/>
          <w:color w:val="222222"/>
          <w:sz w:val="20"/>
          <w:szCs w:val="20"/>
          <w:bdr w:val="none" w:sz="0" w:space="0" w:color="auto" w:frame="1"/>
          <w:shd w:val="clear" w:color="auto" w:fill="FFFFFF"/>
        </w:rPr>
        <w:t xml:space="preserve"> (Kar. HC).</w:t>
      </w:r>
    </w:p>
    <w:p w:rsidR="00E24D4E" w:rsidRDefault="00E24D4E" w:rsidP="00DD4AC4">
      <w:pPr>
        <w:pStyle w:val="NormalWeb"/>
        <w:ind w:left="360"/>
        <w:jc w:val="both"/>
        <w:rPr>
          <w:rFonts w:ascii="Verdana" w:hAnsi="Verdana"/>
          <w:color w:val="222222"/>
          <w:sz w:val="20"/>
          <w:szCs w:val="20"/>
          <w:shd w:val="clear" w:color="auto" w:fill="FFFFFF"/>
        </w:rPr>
      </w:pPr>
      <w:r w:rsidRPr="009F5E0D">
        <w:rPr>
          <w:rFonts w:ascii="Verdana" w:hAnsi="Verdana" w:cs="Arial"/>
          <w:iCs/>
          <w:color w:val="222222"/>
          <w:sz w:val="20"/>
          <w:szCs w:val="20"/>
          <w:bdr w:val="none" w:sz="0" w:space="0" w:color="auto" w:frame="1"/>
          <w:shd w:val="clear" w:color="auto" w:fill="FFFFFF"/>
        </w:rPr>
        <w:t>10.</w:t>
      </w:r>
      <w:r w:rsidRPr="009F5E0D">
        <w:rPr>
          <w:rFonts w:ascii="Verdana" w:hAnsi="Verdana" w:cs="Arial"/>
          <w:iCs/>
          <w:color w:val="222222"/>
          <w:sz w:val="20"/>
          <w:szCs w:val="20"/>
          <w:bdr w:val="none" w:sz="0" w:space="0" w:color="auto" w:frame="1"/>
          <w:shd w:val="clear" w:color="auto" w:fill="FFFFFF"/>
        </w:rPr>
        <w:tab/>
      </w:r>
      <w:r w:rsidRPr="009F5E0D">
        <w:rPr>
          <w:rFonts w:ascii="Verdana" w:hAnsi="Verdana"/>
          <w:color w:val="222222"/>
          <w:sz w:val="20"/>
          <w:szCs w:val="20"/>
          <w:shd w:val="clear" w:color="auto" w:fill="FFFFFF"/>
        </w:rPr>
        <w:t xml:space="preserve">In the case of </w:t>
      </w:r>
      <w:r w:rsidRPr="009F5E0D">
        <w:rPr>
          <w:rFonts w:ascii="Verdana" w:hAnsi="Verdana"/>
          <w:b/>
          <w:i/>
          <w:color w:val="222222"/>
          <w:sz w:val="20"/>
          <w:szCs w:val="20"/>
          <w:shd w:val="clear" w:color="auto" w:fill="FFFFFF"/>
        </w:rPr>
        <w:t>CIT V Vijay Kumar Goel, 324 ITR 376</w:t>
      </w:r>
      <w:r w:rsidRPr="009F5E0D">
        <w:rPr>
          <w:rFonts w:ascii="Verdana" w:hAnsi="Verdana"/>
          <w:color w:val="222222"/>
          <w:sz w:val="20"/>
          <w:szCs w:val="20"/>
          <w:shd w:val="clear" w:color="auto" w:fill="FFFFFF"/>
        </w:rPr>
        <w:t xml:space="preserve"> </w:t>
      </w:r>
      <w:r w:rsidR="007E2E91" w:rsidRPr="009F5E0D">
        <w:rPr>
          <w:rFonts w:ascii="Verdana" w:hAnsi="Verdana"/>
          <w:b/>
          <w:i/>
          <w:color w:val="222222"/>
          <w:sz w:val="20"/>
          <w:szCs w:val="20"/>
          <w:shd w:val="clear" w:color="auto" w:fill="FFFFFF"/>
        </w:rPr>
        <w:t>(Chhatisgarh)</w:t>
      </w:r>
      <w:r w:rsidR="007E2E91" w:rsidRPr="009F5E0D">
        <w:rPr>
          <w:rFonts w:ascii="Verdana" w:hAnsi="Verdana"/>
          <w:color w:val="222222"/>
          <w:sz w:val="20"/>
          <w:szCs w:val="20"/>
          <w:shd w:val="clear" w:color="auto" w:fill="FFFFFF"/>
        </w:rPr>
        <w:t xml:space="preserve"> </w:t>
      </w:r>
      <w:r w:rsidRPr="009F5E0D">
        <w:rPr>
          <w:rFonts w:ascii="Verdana" w:hAnsi="Verdana"/>
          <w:color w:val="222222"/>
          <w:sz w:val="20"/>
          <w:szCs w:val="20"/>
          <w:shd w:val="clear" w:color="auto" w:fill="FFFFFF"/>
        </w:rPr>
        <w:t>it was held that Bill of exchange is covered under negotiable Instrument Act so no disallowance u/s 40A(3)</w:t>
      </w:r>
      <w:r w:rsidR="008B213D" w:rsidRPr="009F5E0D">
        <w:rPr>
          <w:rFonts w:ascii="Verdana" w:hAnsi="Verdana"/>
          <w:color w:val="222222"/>
          <w:sz w:val="20"/>
          <w:szCs w:val="20"/>
          <w:shd w:val="clear" w:color="auto" w:fill="FFFFFF"/>
        </w:rPr>
        <w:t>.</w:t>
      </w:r>
    </w:p>
    <w:p w:rsidR="006A67A2" w:rsidRPr="006A67A2" w:rsidRDefault="006A67A2" w:rsidP="00DD4AC4">
      <w:pPr>
        <w:shd w:val="clear" w:color="auto" w:fill="FFFFFF"/>
        <w:ind w:left="360"/>
        <w:jc w:val="both"/>
        <w:rPr>
          <w:rFonts w:ascii="Verdana" w:hAnsi="Verdana"/>
          <w:color w:val="333333"/>
          <w:sz w:val="20"/>
          <w:szCs w:val="20"/>
        </w:rPr>
      </w:pPr>
      <w:r w:rsidRPr="006A67A2">
        <w:rPr>
          <w:rFonts w:ascii="Verdana" w:hAnsi="Verdana" w:cs="Arial"/>
          <w:iCs/>
          <w:color w:val="222222"/>
          <w:sz w:val="20"/>
          <w:szCs w:val="20"/>
          <w:bdr w:val="none" w:sz="0" w:space="0" w:color="auto" w:frame="1"/>
          <w:shd w:val="clear" w:color="auto" w:fill="FFFFFF"/>
        </w:rPr>
        <w:t>11.</w:t>
      </w:r>
      <w:r w:rsidRPr="006A67A2">
        <w:rPr>
          <w:rFonts w:ascii="Verdana" w:hAnsi="Verdana"/>
          <w:b/>
          <w:bCs/>
          <w:sz w:val="20"/>
          <w:szCs w:val="20"/>
        </w:rPr>
        <w:tab/>
      </w:r>
      <w:r w:rsidRPr="006A67A2">
        <w:rPr>
          <w:rFonts w:ascii="Verdana" w:hAnsi="Verdana"/>
          <w:color w:val="444444"/>
          <w:sz w:val="20"/>
          <w:szCs w:val="20"/>
        </w:rPr>
        <w:t>Cash deposit directly into the account of the creditor do not absolve Assessee from clutches of S. 40(A</w:t>
      </w:r>
      <w:proofErr w:type="gramStart"/>
      <w:r w:rsidRPr="006A67A2">
        <w:rPr>
          <w:rFonts w:ascii="Verdana" w:hAnsi="Verdana"/>
          <w:color w:val="444444"/>
          <w:sz w:val="20"/>
          <w:szCs w:val="20"/>
        </w:rPr>
        <w:t>)(</w:t>
      </w:r>
      <w:proofErr w:type="gramEnd"/>
      <w:r w:rsidRPr="006A67A2">
        <w:rPr>
          <w:rFonts w:ascii="Verdana" w:hAnsi="Verdana"/>
          <w:color w:val="444444"/>
          <w:sz w:val="20"/>
          <w:szCs w:val="20"/>
        </w:rPr>
        <w:t>3)</w:t>
      </w:r>
      <w:r w:rsidR="000371CD">
        <w:rPr>
          <w:rFonts w:ascii="Verdana" w:hAnsi="Verdana"/>
          <w:color w:val="444444"/>
          <w:sz w:val="20"/>
          <w:szCs w:val="20"/>
        </w:rPr>
        <w:t>.</w:t>
      </w:r>
      <w:r w:rsidRPr="006A67A2">
        <w:rPr>
          <w:rFonts w:ascii="Verdana" w:hAnsi="Verdana"/>
          <w:color w:val="444444"/>
          <w:sz w:val="20"/>
          <w:szCs w:val="20"/>
        </w:rPr>
        <w:t xml:space="preserve"> </w:t>
      </w:r>
      <w:proofErr w:type="gramStart"/>
      <w:r w:rsidRPr="006A67A2">
        <w:rPr>
          <w:rFonts w:ascii="Verdana" w:hAnsi="Verdana"/>
          <w:b/>
          <w:bCs/>
          <w:color w:val="333333"/>
          <w:sz w:val="20"/>
          <w:szCs w:val="20"/>
        </w:rPr>
        <w:t>Venkatadhri Constructions</w:t>
      </w:r>
      <w:r w:rsidR="000371CD">
        <w:rPr>
          <w:rFonts w:ascii="Verdana" w:hAnsi="Verdana"/>
          <w:b/>
          <w:bCs/>
          <w:color w:val="333333"/>
          <w:sz w:val="20"/>
          <w:szCs w:val="20"/>
        </w:rPr>
        <w:t xml:space="preserve"> (Mad. HC) TC No. 122/2003 dtd.</w:t>
      </w:r>
      <w:proofErr w:type="gramEnd"/>
      <w:r w:rsidR="000371CD">
        <w:rPr>
          <w:rFonts w:ascii="Verdana" w:hAnsi="Verdana"/>
          <w:b/>
          <w:bCs/>
          <w:color w:val="333333"/>
          <w:sz w:val="20"/>
          <w:szCs w:val="20"/>
        </w:rPr>
        <w:t xml:space="preserve"> </w:t>
      </w:r>
      <w:proofErr w:type="gramStart"/>
      <w:r w:rsidR="000371CD">
        <w:rPr>
          <w:rFonts w:ascii="Verdana" w:hAnsi="Verdana"/>
          <w:b/>
          <w:bCs/>
          <w:color w:val="333333"/>
          <w:sz w:val="20"/>
          <w:szCs w:val="20"/>
        </w:rPr>
        <w:t>29.06.2012.</w:t>
      </w:r>
      <w:proofErr w:type="gramEnd"/>
    </w:p>
    <w:p w:rsidR="00316B13" w:rsidRPr="009F5E0D" w:rsidRDefault="00F833F4" w:rsidP="00A01438">
      <w:pPr>
        <w:pStyle w:val="NormalWeb"/>
        <w:jc w:val="both"/>
        <w:rPr>
          <w:rFonts w:ascii="Verdana" w:hAnsi="Verdana"/>
          <w:sz w:val="20"/>
          <w:szCs w:val="20"/>
        </w:rPr>
      </w:pPr>
      <w:r w:rsidRPr="009F5E0D">
        <w:rPr>
          <w:rFonts w:ascii="Verdana" w:hAnsi="Verdana"/>
          <w:sz w:val="20"/>
          <w:szCs w:val="20"/>
        </w:rPr>
        <w:t>In view of above Interpretations by Various Courts of the Country on provisions of Sec 40A(3), (3A), (4) and Rule 6DD, there has been a sea change in the perception of looking at the expenses paid in cash or paid otherwise than account payee cheques. I believe that though the payment made through cash be restricted and penalized but if the assessee can demonstrate the genuine cause of making cash payment, the disallowance u/s 40A(3) should not be made since the list of situations under Rule 6DD is only illustrative and not exhaustive as laid down by Hon’ble Gujarat High Court in 2014.</w:t>
      </w:r>
      <w:bookmarkStart w:id="0" w:name="_GoBack"/>
      <w:bookmarkEnd w:id="0"/>
    </w:p>
    <w:p w:rsidR="00316B13" w:rsidRPr="009F5E0D" w:rsidRDefault="00316B13" w:rsidP="00A01438">
      <w:pPr>
        <w:pStyle w:val="NormalWeb"/>
        <w:jc w:val="both"/>
        <w:rPr>
          <w:rFonts w:ascii="Verdana" w:hAnsi="Verdana"/>
          <w:sz w:val="20"/>
          <w:szCs w:val="20"/>
        </w:rPr>
      </w:pPr>
    </w:p>
    <w:sectPr w:rsidR="00316B13" w:rsidRPr="009F5E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322"/>
    <w:multiLevelType w:val="hybridMultilevel"/>
    <w:tmpl w:val="F7B2F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E48E2"/>
    <w:multiLevelType w:val="hybridMultilevel"/>
    <w:tmpl w:val="0634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01535"/>
    <w:multiLevelType w:val="hybridMultilevel"/>
    <w:tmpl w:val="7806E66E"/>
    <w:lvl w:ilvl="0" w:tplc="7556D6D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B7C96"/>
    <w:multiLevelType w:val="hybridMultilevel"/>
    <w:tmpl w:val="F7B2F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01A2E"/>
    <w:multiLevelType w:val="hybridMultilevel"/>
    <w:tmpl w:val="5A06FA3A"/>
    <w:lvl w:ilvl="0" w:tplc="7BF254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E6861"/>
    <w:multiLevelType w:val="hybridMultilevel"/>
    <w:tmpl w:val="EA1498DE"/>
    <w:lvl w:ilvl="0" w:tplc="726891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633D8"/>
    <w:multiLevelType w:val="hybridMultilevel"/>
    <w:tmpl w:val="E12E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40620"/>
    <w:multiLevelType w:val="hybridMultilevel"/>
    <w:tmpl w:val="959851CE"/>
    <w:lvl w:ilvl="0" w:tplc="A43E68A2">
      <w:start w:val="1"/>
      <w:numFmt w:val="lowerLetter"/>
      <w:lvlText w:val="%1."/>
      <w:lvlJc w:val="left"/>
      <w:pPr>
        <w:ind w:left="1080" w:hanging="360"/>
      </w:pPr>
      <w:rPr>
        <w:rFonts w:ascii="Helvetica" w:hAnsi="Helvetica" w:cs="Helvetica" w:hint="default"/>
        <w:b/>
        <w:color w:val="373737"/>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8C08FD"/>
    <w:multiLevelType w:val="hybridMultilevel"/>
    <w:tmpl w:val="FC4A69A2"/>
    <w:lvl w:ilvl="0" w:tplc="3462FF34">
      <w:start w:val="1"/>
      <w:numFmt w:val="lowerRoman"/>
      <w:lvlText w:val="%1."/>
      <w:lvlJc w:val="left"/>
      <w:pPr>
        <w:ind w:left="1080" w:hanging="720"/>
      </w:pPr>
      <w:rPr>
        <w:rFonts w:ascii="Helvetica" w:hAnsi="Helvetica" w:cs="Helvetica" w:hint="default"/>
        <w:b/>
        <w:color w:val="373737"/>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A254AD"/>
    <w:multiLevelType w:val="hybridMultilevel"/>
    <w:tmpl w:val="BE1015F2"/>
    <w:lvl w:ilvl="0" w:tplc="BB6215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2613BD"/>
    <w:multiLevelType w:val="hybridMultilevel"/>
    <w:tmpl w:val="18BA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354822"/>
    <w:multiLevelType w:val="hybridMultilevel"/>
    <w:tmpl w:val="DDA0DE26"/>
    <w:lvl w:ilvl="0" w:tplc="818A2A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F95C6E"/>
    <w:multiLevelType w:val="hybridMultilevel"/>
    <w:tmpl w:val="653C4F20"/>
    <w:lvl w:ilvl="0" w:tplc="960CDA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0"/>
  </w:num>
  <w:num w:numId="5">
    <w:abstractNumId w:val="7"/>
  </w:num>
  <w:num w:numId="6">
    <w:abstractNumId w:val="8"/>
  </w:num>
  <w:num w:numId="7">
    <w:abstractNumId w:val="11"/>
  </w:num>
  <w:num w:numId="8">
    <w:abstractNumId w:val="12"/>
  </w:num>
  <w:num w:numId="9">
    <w:abstractNumId w:val="9"/>
  </w:num>
  <w:num w:numId="10">
    <w:abstractNumId w:val="1"/>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794"/>
    <w:rsid w:val="000067A7"/>
    <w:rsid w:val="00015F52"/>
    <w:rsid w:val="0002338E"/>
    <w:rsid w:val="0002632C"/>
    <w:rsid w:val="000371CD"/>
    <w:rsid w:val="0005118A"/>
    <w:rsid w:val="0005368D"/>
    <w:rsid w:val="00090855"/>
    <w:rsid w:val="000C38C0"/>
    <w:rsid w:val="000D19E7"/>
    <w:rsid w:val="00105A94"/>
    <w:rsid w:val="00150432"/>
    <w:rsid w:val="00155E5F"/>
    <w:rsid w:val="00170AB9"/>
    <w:rsid w:val="00174404"/>
    <w:rsid w:val="00184216"/>
    <w:rsid w:val="001849A7"/>
    <w:rsid w:val="001B6283"/>
    <w:rsid w:val="001C36A1"/>
    <w:rsid w:val="002034CD"/>
    <w:rsid w:val="00203BAA"/>
    <w:rsid w:val="002336F5"/>
    <w:rsid w:val="00236C49"/>
    <w:rsid w:val="0025391D"/>
    <w:rsid w:val="002553FF"/>
    <w:rsid w:val="00287C98"/>
    <w:rsid w:val="00291317"/>
    <w:rsid w:val="002B4BA7"/>
    <w:rsid w:val="002C2295"/>
    <w:rsid w:val="002C45D8"/>
    <w:rsid w:val="002E1AC2"/>
    <w:rsid w:val="002E28F1"/>
    <w:rsid w:val="002F4F8E"/>
    <w:rsid w:val="00300027"/>
    <w:rsid w:val="00307DFA"/>
    <w:rsid w:val="00316B13"/>
    <w:rsid w:val="003309F4"/>
    <w:rsid w:val="00331771"/>
    <w:rsid w:val="003457DD"/>
    <w:rsid w:val="00353549"/>
    <w:rsid w:val="00354782"/>
    <w:rsid w:val="003579B4"/>
    <w:rsid w:val="00362A54"/>
    <w:rsid w:val="00382460"/>
    <w:rsid w:val="003B2943"/>
    <w:rsid w:val="003D78C5"/>
    <w:rsid w:val="003E3CC9"/>
    <w:rsid w:val="00405977"/>
    <w:rsid w:val="00407DC8"/>
    <w:rsid w:val="00433EC3"/>
    <w:rsid w:val="004476C2"/>
    <w:rsid w:val="00472A9D"/>
    <w:rsid w:val="00473790"/>
    <w:rsid w:val="004D38D4"/>
    <w:rsid w:val="004E029C"/>
    <w:rsid w:val="004F7F1E"/>
    <w:rsid w:val="005000B1"/>
    <w:rsid w:val="005007BC"/>
    <w:rsid w:val="0050369A"/>
    <w:rsid w:val="0054687D"/>
    <w:rsid w:val="00546922"/>
    <w:rsid w:val="0055191F"/>
    <w:rsid w:val="0055307E"/>
    <w:rsid w:val="00554292"/>
    <w:rsid w:val="00555A25"/>
    <w:rsid w:val="00561DF7"/>
    <w:rsid w:val="00566DB8"/>
    <w:rsid w:val="00587154"/>
    <w:rsid w:val="005E1E6C"/>
    <w:rsid w:val="005E404D"/>
    <w:rsid w:val="005E67CA"/>
    <w:rsid w:val="005F531C"/>
    <w:rsid w:val="00603745"/>
    <w:rsid w:val="00605EA7"/>
    <w:rsid w:val="006320E1"/>
    <w:rsid w:val="00683AE4"/>
    <w:rsid w:val="006A5BA1"/>
    <w:rsid w:val="006A67A2"/>
    <w:rsid w:val="006C0861"/>
    <w:rsid w:val="006D0ED7"/>
    <w:rsid w:val="006F56EA"/>
    <w:rsid w:val="00700A19"/>
    <w:rsid w:val="007368B3"/>
    <w:rsid w:val="007576C5"/>
    <w:rsid w:val="00771384"/>
    <w:rsid w:val="007854B7"/>
    <w:rsid w:val="00787326"/>
    <w:rsid w:val="007A0B47"/>
    <w:rsid w:val="007B747C"/>
    <w:rsid w:val="007C143E"/>
    <w:rsid w:val="007C3B07"/>
    <w:rsid w:val="007D3999"/>
    <w:rsid w:val="007E2E91"/>
    <w:rsid w:val="0080588B"/>
    <w:rsid w:val="008354BE"/>
    <w:rsid w:val="00850C99"/>
    <w:rsid w:val="008829D1"/>
    <w:rsid w:val="008864BB"/>
    <w:rsid w:val="008B213D"/>
    <w:rsid w:val="008B3C7B"/>
    <w:rsid w:val="008B79F4"/>
    <w:rsid w:val="008D3531"/>
    <w:rsid w:val="008F18DA"/>
    <w:rsid w:val="008F259E"/>
    <w:rsid w:val="008F41B5"/>
    <w:rsid w:val="008F7663"/>
    <w:rsid w:val="009013E2"/>
    <w:rsid w:val="00913064"/>
    <w:rsid w:val="00943751"/>
    <w:rsid w:val="00953F45"/>
    <w:rsid w:val="00961DB1"/>
    <w:rsid w:val="00980454"/>
    <w:rsid w:val="009B3091"/>
    <w:rsid w:val="009B6332"/>
    <w:rsid w:val="009F5E0D"/>
    <w:rsid w:val="00A01438"/>
    <w:rsid w:val="00A22065"/>
    <w:rsid w:val="00A2701B"/>
    <w:rsid w:val="00A30EE7"/>
    <w:rsid w:val="00A35D49"/>
    <w:rsid w:val="00A52DC4"/>
    <w:rsid w:val="00A61420"/>
    <w:rsid w:val="00A860C4"/>
    <w:rsid w:val="00A92C4F"/>
    <w:rsid w:val="00A93CCD"/>
    <w:rsid w:val="00AD5532"/>
    <w:rsid w:val="00B14954"/>
    <w:rsid w:val="00B23ED4"/>
    <w:rsid w:val="00B346F5"/>
    <w:rsid w:val="00B54A1A"/>
    <w:rsid w:val="00B64CC3"/>
    <w:rsid w:val="00B679E0"/>
    <w:rsid w:val="00B919C8"/>
    <w:rsid w:val="00BC38D0"/>
    <w:rsid w:val="00BC3B20"/>
    <w:rsid w:val="00BD3753"/>
    <w:rsid w:val="00BF1282"/>
    <w:rsid w:val="00C02ACD"/>
    <w:rsid w:val="00C07A6C"/>
    <w:rsid w:val="00C40B0D"/>
    <w:rsid w:val="00C46B97"/>
    <w:rsid w:val="00C62BBA"/>
    <w:rsid w:val="00C76A98"/>
    <w:rsid w:val="00C807CD"/>
    <w:rsid w:val="00C867F8"/>
    <w:rsid w:val="00CC5878"/>
    <w:rsid w:val="00CC7014"/>
    <w:rsid w:val="00CD6083"/>
    <w:rsid w:val="00CF1C38"/>
    <w:rsid w:val="00CF4001"/>
    <w:rsid w:val="00CF6A0D"/>
    <w:rsid w:val="00D2051F"/>
    <w:rsid w:val="00D20C59"/>
    <w:rsid w:val="00D57DA0"/>
    <w:rsid w:val="00D63F2B"/>
    <w:rsid w:val="00D649F5"/>
    <w:rsid w:val="00D8506D"/>
    <w:rsid w:val="00DA12A5"/>
    <w:rsid w:val="00DB13E6"/>
    <w:rsid w:val="00DC1A97"/>
    <w:rsid w:val="00DD4AC4"/>
    <w:rsid w:val="00E1045E"/>
    <w:rsid w:val="00E11794"/>
    <w:rsid w:val="00E24D4E"/>
    <w:rsid w:val="00E419DF"/>
    <w:rsid w:val="00E6158D"/>
    <w:rsid w:val="00E81396"/>
    <w:rsid w:val="00E82A78"/>
    <w:rsid w:val="00E84445"/>
    <w:rsid w:val="00E9527A"/>
    <w:rsid w:val="00E962E4"/>
    <w:rsid w:val="00EA427C"/>
    <w:rsid w:val="00EB59B6"/>
    <w:rsid w:val="00EB7202"/>
    <w:rsid w:val="00ED5D67"/>
    <w:rsid w:val="00EF58E3"/>
    <w:rsid w:val="00EF7E36"/>
    <w:rsid w:val="00F06B05"/>
    <w:rsid w:val="00F24069"/>
    <w:rsid w:val="00F270A9"/>
    <w:rsid w:val="00F27229"/>
    <w:rsid w:val="00F314FE"/>
    <w:rsid w:val="00F41720"/>
    <w:rsid w:val="00F43B6B"/>
    <w:rsid w:val="00F5413C"/>
    <w:rsid w:val="00F77D6B"/>
    <w:rsid w:val="00F833F4"/>
    <w:rsid w:val="00FA7B47"/>
    <w:rsid w:val="00FC780A"/>
    <w:rsid w:val="00FE0B2F"/>
    <w:rsid w:val="00FE2519"/>
    <w:rsid w:val="00FE6989"/>
    <w:rsid w:val="00FE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6A67A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3790"/>
    <w:pPr>
      <w:spacing w:before="100" w:beforeAutospacing="1" w:after="100" w:afterAutospacing="1"/>
    </w:pPr>
  </w:style>
  <w:style w:type="character" w:styleId="Hyperlink">
    <w:name w:val="Hyperlink"/>
    <w:basedOn w:val="DefaultParagraphFont"/>
    <w:uiPriority w:val="99"/>
    <w:semiHidden/>
    <w:unhideWhenUsed/>
    <w:rsid w:val="00473790"/>
    <w:rPr>
      <w:color w:val="0000FF"/>
      <w:u w:val="single"/>
    </w:rPr>
  </w:style>
  <w:style w:type="character" w:styleId="FollowedHyperlink">
    <w:name w:val="FollowedHyperlink"/>
    <w:basedOn w:val="DefaultParagraphFont"/>
    <w:uiPriority w:val="99"/>
    <w:semiHidden/>
    <w:unhideWhenUsed/>
    <w:rsid w:val="00473790"/>
    <w:rPr>
      <w:color w:val="800080"/>
      <w:u w:val="single"/>
    </w:rPr>
  </w:style>
  <w:style w:type="character" w:styleId="Strong">
    <w:name w:val="Strong"/>
    <w:basedOn w:val="DefaultParagraphFont"/>
    <w:uiPriority w:val="22"/>
    <w:qFormat/>
    <w:rsid w:val="00CC7014"/>
    <w:rPr>
      <w:b/>
      <w:bCs/>
    </w:rPr>
  </w:style>
  <w:style w:type="character" w:customStyle="1" w:styleId="apple-converted-space">
    <w:name w:val="apple-converted-space"/>
    <w:basedOn w:val="DefaultParagraphFont"/>
    <w:rsid w:val="00B64CC3"/>
  </w:style>
  <w:style w:type="character" w:customStyle="1" w:styleId="Heading1Char">
    <w:name w:val="Heading 1 Char"/>
    <w:basedOn w:val="DefaultParagraphFont"/>
    <w:link w:val="Heading1"/>
    <w:uiPriority w:val="9"/>
    <w:rsid w:val="006A67A2"/>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6A67A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3790"/>
    <w:pPr>
      <w:spacing w:before="100" w:beforeAutospacing="1" w:after="100" w:afterAutospacing="1"/>
    </w:pPr>
  </w:style>
  <w:style w:type="character" w:styleId="Hyperlink">
    <w:name w:val="Hyperlink"/>
    <w:basedOn w:val="DefaultParagraphFont"/>
    <w:uiPriority w:val="99"/>
    <w:semiHidden/>
    <w:unhideWhenUsed/>
    <w:rsid w:val="00473790"/>
    <w:rPr>
      <w:color w:val="0000FF"/>
      <w:u w:val="single"/>
    </w:rPr>
  </w:style>
  <w:style w:type="character" w:styleId="FollowedHyperlink">
    <w:name w:val="FollowedHyperlink"/>
    <w:basedOn w:val="DefaultParagraphFont"/>
    <w:uiPriority w:val="99"/>
    <w:semiHidden/>
    <w:unhideWhenUsed/>
    <w:rsid w:val="00473790"/>
    <w:rPr>
      <w:color w:val="800080"/>
      <w:u w:val="single"/>
    </w:rPr>
  </w:style>
  <w:style w:type="character" w:styleId="Strong">
    <w:name w:val="Strong"/>
    <w:basedOn w:val="DefaultParagraphFont"/>
    <w:uiPriority w:val="22"/>
    <w:qFormat/>
    <w:rsid w:val="00CC7014"/>
    <w:rPr>
      <w:b/>
      <w:bCs/>
    </w:rPr>
  </w:style>
  <w:style w:type="character" w:customStyle="1" w:styleId="apple-converted-space">
    <w:name w:val="apple-converted-space"/>
    <w:basedOn w:val="DefaultParagraphFont"/>
    <w:rsid w:val="00B64CC3"/>
  </w:style>
  <w:style w:type="character" w:customStyle="1" w:styleId="Heading1Char">
    <w:name w:val="Heading 1 Char"/>
    <w:basedOn w:val="DefaultParagraphFont"/>
    <w:link w:val="Heading1"/>
    <w:uiPriority w:val="9"/>
    <w:rsid w:val="006A67A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18449">
      <w:bodyDiv w:val="1"/>
      <w:marLeft w:val="0"/>
      <w:marRight w:val="0"/>
      <w:marTop w:val="0"/>
      <w:marBottom w:val="0"/>
      <w:divBdr>
        <w:top w:val="none" w:sz="0" w:space="0" w:color="auto"/>
        <w:left w:val="none" w:sz="0" w:space="0" w:color="auto"/>
        <w:bottom w:val="none" w:sz="0" w:space="0" w:color="auto"/>
        <w:right w:val="none" w:sz="0" w:space="0" w:color="auto"/>
      </w:divBdr>
    </w:div>
    <w:div w:id="1884976877">
      <w:bodyDiv w:val="1"/>
      <w:marLeft w:val="0"/>
      <w:marRight w:val="0"/>
      <w:marTop w:val="0"/>
      <w:marBottom w:val="0"/>
      <w:divBdr>
        <w:top w:val="none" w:sz="0" w:space="0" w:color="auto"/>
        <w:left w:val="none" w:sz="0" w:space="0" w:color="auto"/>
        <w:bottom w:val="none" w:sz="0" w:space="0" w:color="auto"/>
        <w:right w:val="none" w:sz="0" w:space="0" w:color="auto"/>
      </w:divBdr>
    </w:div>
    <w:div w:id="21286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TRSETUP\html\156%20ITR%20585" TargetMode="External"/><Relationship Id="rId13" Type="http://schemas.openxmlformats.org/officeDocument/2006/relationships/hyperlink" Target="file:///C:\CTRSETUP\html\RULEIT6DD" TargetMode="External"/><Relationship Id="rId18" Type="http://schemas.openxmlformats.org/officeDocument/2006/relationships/hyperlink" Target="file:///C:\CTRSETUP\html\RULEIT6DD" TargetMode="External"/><Relationship Id="rId26" Type="http://schemas.openxmlformats.org/officeDocument/2006/relationships/hyperlink" Target="file:///C:\CTRSETUP\html\RULEIT6" TargetMode="External"/><Relationship Id="rId3" Type="http://schemas.microsoft.com/office/2007/relationships/stylesWithEffects" Target="stylesWithEffects.xml"/><Relationship Id="rId21" Type="http://schemas.openxmlformats.org/officeDocument/2006/relationships/hyperlink" Target="file:///C:\CTRSETUP\html\148%20CTR%20533" TargetMode="External"/><Relationship Id="rId7" Type="http://schemas.openxmlformats.org/officeDocument/2006/relationships/hyperlink" Target="file:///C:\CTRSETUP\html\191%20ITR%20667" TargetMode="External"/><Relationship Id="rId12" Type="http://schemas.openxmlformats.org/officeDocument/2006/relationships/hyperlink" Target="file:///C:\CTRSETUP\html\218%20CTR%20602" TargetMode="External"/><Relationship Id="rId17" Type="http://schemas.openxmlformats.org/officeDocument/2006/relationships/hyperlink" Target="file:///C:\CTRSETUP\html\SECIT28" TargetMode="External"/><Relationship Id="rId25" Type="http://schemas.openxmlformats.org/officeDocument/2006/relationships/hyperlink" Target="file:///C:\CTRSETUP\html\135%20ITR%20501" TargetMode="External"/><Relationship Id="rId2" Type="http://schemas.openxmlformats.org/officeDocument/2006/relationships/styles" Target="styles.xml"/><Relationship Id="rId16" Type="http://schemas.openxmlformats.org/officeDocument/2006/relationships/hyperlink" Target="file:///C:\CTRSETUP\html\SECIT37" TargetMode="External"/><Relationship Id="rId20" Type="http://schemas.openxmlformats.org/officeDocument/2006/relationships/hyperlink" Target="file:///C:\CTRSETUP\html\199%20CTR%20350" TargetMode="External"/><Relationship Id="rId29" Type="http://schemas.openxmlformats.org/officeDocument/2006/relationships/hyperlink" Target="file:///C:\CTRSETUP\html\162%20CTR%20414" TargetMode="External"/><Relationship Id="rId1" Type="http://schemas.openxmlformats.org/officeDocument/2006/relationships/numbering" Target="numbering.xml"/><Relationship Id="rId6" Type="http://schemas.openxmlformats.org/officeDocument/2006/relationships/hyperlink" Target="file:///C:\CTRSETUP\html\RULEIT6DD" TargetMode="External"/><Relationship Id="rId11" Type="http://schemas.openxmlformats.org/officeDocument/2006/relationships/hyperlink" Target="file:///C:\CTRSETUP\html\101%20ITR%20348" TargetMode="External"/><Relationship Id="rId24" Type="http://schemas.openxmlformats.org/officeDocument/2006/relationships/hyperlink" Target="file:///C:\CTRSETUP\html\323%20ITR%2035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CTRSETUP\html\144%20ITR%20373" TargetMode="External"/><Relationship Id="rId23" Type="http://schemas.openxmlformats.org/officeDocument/2006/relationships/hyperlink" Target="file:///C:\CTRSETUP\html\296%20ITR%20324" TargetMode="External"/><Relationship Id="rId28" Type="http://schemas.openxmlformats.org/officeDocument/2006/relationships/hyperlink" Target="file:///C:\CTRSETUP\html\121%20ITR%20232" TargetMode="External"/><Relationship Id="rId10" Type="http://schemas.openxmlformats.org/officeDocument/2006/relationships/hyperlink" Target="file:///C:\CTRSETUP\html\SECIT37" TargetMode="External"/><Relationship Id="rId19" Type="http://schemas.openxmlformats.org/officeDocument/2006/relationships/hyperlink" Target="file:///C:\CTRSETUP\html\144%20CTR%2021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TRSETUP\html\SECIT28" TargetMode="External"/><Relationship Id="rId14" Type="http://schemas.openxmlformats.org/officeDocument/2006/relationships/hyperlink" Target="file:///C:\CTRSETUP\html\173%20ITR%20340" TargetMode="External"/><Relationship Id="rId22" Type="http://schemas.openxmlformats.org/officeDocument/2006/relationships/hyperlink" Target="file:///C:\CTRSETUP\html\184%20CTR%20349" TargetMode="External"/><Relationship Id="rId27" Type="http://schemas.openxmlformats.org/officeDocument/2006/relationships/hyperlink" Target="file:///C:\CTRSETUP\html\RULEIT6" TargetMode="External"/><Relationship Id="rId30" Type="http://schemas.openxmlformats.org/officeDocument/2006/relationships/hyperlink" Target="file:///C:\CTRSETUP\html\239%20CTR%20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2006</Words>
  <Characters>11023</Characters>
  <Application>Microsoft Office Word</Application>
  <DocSecurity>0</DocSecurity>
  <Lines>91</Lines>
  <Paragraphs>26</Paragraphs>
  <ScaleCrop>false</ScaleCrop>
  <Company>Rupesh Parikshit &amp; Associates</Company>
  <LinksUpToDate>false</LinksUpToDate>
  <CharactersWithSpaces>13003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parikshit Aggarwal</dc:creator>
  <cp:keywords/>
  <dc:description/>
  <cp:lastModifiedBy>parikshit Aggarwal</cp:lastModifiedBy>
  <cp:revision>207</cp:revision>
  <dcterms:created xsi:type="dcterms:W3CDTF">2014-03-20T06:50:00Z</dcterms:created>
  <dcterms:modified xsi:type="dcterms:W3CDTF">2014-03-20T09:39:00Z</dcterms:modified>
</cp:coreProperties>
</file>